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93" w:rsidRPr="009E591D" w:rsidRDefault="004E2D6C" w:rsidP="003C4B93">
      <w:pPr>
        <w:widowControl w:val="0"/>
        <w:tabs>
          <w:tab w:val="left" w:pos="3969"/>
        </w:tabs>
        <w:autoSpaceDE w:val="0"/>
        <w:autoSpaceDN w:val="0"/>
        <w:adjustRightInd w:val="0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3C4B93" w:rsidRPr="003C4B93" w:rsidRDefault="003C4B93" w:rsidP="009E591D">
      <w:pPr>
        <w:widowControl w:val="0"/>
        <w:autoSpaceDE w:val="0"/>
        <w:autoSpaceDN w:val="0"/>
        <w:adjustRightInd w:val="0"/>
        <w:spacing w:after="0" w:line="240" w:lineRule="exact"/>
        <w:ind w:left="3827"/>
        <w:rPr>
          <w:rFonts w:ascii="Times New Roman" w:hAnsi="Times New Roman"/>
          <w:sz w:val="28"/>
          <w:szCs w:val="28"/>
        </w:rPr>
      </w:pPr>
      <w:bookmarkStart w:id="0" w:name="Par959"/>
      <w:bookmarkEnd w:id="0"/>
      <w:r>
        <w:rPr>
          <w:rFonts w:ascii="Times New Roman" w:hAnsi="Times New Roman"/>
          <w:sz w:val="28"/>
          <w:szCs w:val="28"/>
        </w:rPr>
        <w:t>к Методике</w:t>
      </w:r>
      <w:r w:rsidRPr="003C4B93">
        <w:rPr>
          <w:rFonts w:ascii="Times New Roman" w:hAnsi="Times New Roman"/>
          <w:sz w:val="28"/>
          <w:szCs w:val="28"/>
        </w:rPr>
        <w:t xml:space="preserve"> определения нормативных затрат</w:t>
      </w:r>
    </w:p>
    <w:p w:rsidR="003C4B93" w:rsidRPr="003C4B93" w:rsidRDefault="003C4B93" w:rsidP="009E591D">
      <w:pPr>
        <w:widowControl w:val="0"/>
        <w:autoSpaceDE w:val="0"/>
        <w:autoSpaceDN w:val="0"/>
        <w:adjustRightInd w:val="0"/>
        <w:spacing w:after="0" w:line="240" w:lineRule="exact"/>
        <w:ind w:left="3827"/>
        <w:rPr>
          <w:rFonts w:ascii="Times New Roman" w:hAnsi="Times New Roman"/>
          <w:sz w:val="28"/>
          <w:szCs w:val="28"/>
        </w:rPr>
      </w:pPr>
      <w:r w:rsidRPr="003C4B93">
        <w:rPr>
          <w:rFonts w:ascii="Times New Roman" w:hAnsi="Times New Roman"/>
          <w:sz w:val="28"/>
          <w:szCs w:val="28"/>
        </w:rPr>
        <w:t xml:space="preserve">на обеспечение функций </w:t>
      </w:r>
      <w:proofErr w:type="gramStart"/>
      <w:r w:rsidRPr="003C4B93">
        <w:rPr>
          <w:rFonts w:ascii="Times New Roman" w:hAnsi="Times New Roman"/>
          <w:sz w:val="28"/>
          <w:szCs w:val="28"/>
        </w:rPr>
        <w:t>Ставропольской</w:t>
      </w:r>
      <w:proofErr w:type="gramEnd"/>
    </w:p>
    <w:p w:rsidR="003C4B93" w:rsidRPr="003C4B93" w:rsidRDefault="003C4B93" w:rsidP="009E591D">
      <w:pPr>
        <w:widowControl w:val="0"/>
        <w:autoSpaceDE w:val="0"/>
        <w:autoSpaceDN w:val="0"/>
        <w:adjustRightInd w:val="0"/>
        <w:spacing w:after="0" w:line="240" w:lineRule="exact"/>
        <w:ind w:left="3827"/>
        <w:rPr>
          <w:rFonts w:ascii="Times New Roman" w:hAnsi="Times New Roman"/>
          <w:sz w:val="28"/>
          <w:szCs w:val="28"/>
        </w:rPr>
      </w:pPr>
      <w:r w:rsidRPr="003C4B93">
        <w:rPr>
          <w:rFonts w:ascii="Times New Roman" w:hAnsi="Times New Roman"/>
          <w:sz w:val="28"/>
          <w:szCs w:val="28"/>
        </w:rPr>
        <w:t>городской Думы, контрольно</w:t>
      </w:r>
      <w:r w:rsidR="00D94C1E">
        <w:rPr>
          <w:rFonts w:ascii="Times New Roman" w:hAnsi="Times New Roman"/>
          <w:sz w:val="28"/>
          <w:szCs w:val="28"/>
        </w:rPr>
        <w:t>-</w:t>
      </w:r>
      <w:r w:rsidRPr="003C4B93">
        <w:rPr>
          <w:rFonts w:ascii="Times New Roman" w:hAnsi="Times New Roman"/>
          <w:sz w:val="28"/>
          <w:szCs w:val="28"/>
        </w:rPr>
        <w:t>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</w:p>
    <w:p w:rsidR="00D467A4" w:rsidRPr="004E2D6C" w:rsidRDefault="00D467A4" w:rsidP="003C4B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4B93" w:rsidRPr="00C92CBB" w:rsidRDefault="003C4B93" w:rsidP="003C4B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2CBB">
        <w:rPr>
          <w:rFonts w:ascii="Times New Roman" w:hAnsi="Times New Roman"/>
          <w:sz w:val="28"/>
          <w:szCs w:val="28"/>
        </w:rPr>
        <w:t xml:space="preserve"> </w:t>
      </w:r>
    </w:p>
    <w:p w:rsidR="003C4B93" w:rsidRPr="00B23E6B" w:rsidRDefault="003C4B93" w:rsidP="003C4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921"/>
      <w:bookmarkEnd w:id="1"/>
      <w:r w:rsidRPr="00B23E6B">
        <w:rPr>
          <w:rFonts w:ascii="Times New Roman" w:hAnsi="Times New Roman"/>
          <w:bCs/>
          <w:sz w:val="28"/>
          <w:szCs w:val="28"/>
        </w:rPr>
        <w:t>НОРМАТИВЫ</w:t>
      </w:r>
    </w:p>
    <w:p w:rsidR="003C4B93" w:rsidRPr="000076F1" w:rsidRDefault="000B1EDF" w:rsidP="000076F1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обеспечения</w:t>
      </w:r>
      <w:r w:rsidR="00B23E6B" w:rsidRPr="00D467A4">
        <w:rPr>
          <w:rFonts w:ascii="Times New Roman" w:eastAsiaTheme="minorHAnsi" w:hAnsi="Times New Roman"/>
          <w:sz w:val="28"/>
          <w:szCs w:val="28"/>
        </w:rPr>
        <w:t xml:space="preserve"> функций Ставропольской городской Думы, контрольно-счетной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  <w:r w:rsidR="00A24D3C">
        <w:rPr>
          <w:rFonts w:ascii="Times New Roman" w:eastAsiaTheme="minorHAnsi" w:hAnsi="Times New Roman"/>
          <w:sz w:val="28"/>
          <w:szCs w:val="28"/>
        </w:rPr>
        <w:t>,</w:t>
      </w:r>
      <w:r w:rsidR="00D467A4" w:rsidRPr="00D467A4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приобретение средств подвижной связи и услуг подвижной связи</w:t>
      </w:r>
    </w:p>
    <w:tbl>
      <w:tblPr>
        <w:tblW w:w="96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2"/>
        <w:gridCol w:w="1417"/>
        <w:gridCol w:w="1871"/>
        <w:gridCol w:w="1928"/>
        <w:gridCol w:w="1928"/>
        <w:gridCol w:w="1928"/>
      </w:tblGrid>
      <w:tr w:rsidR="003C4B93" w:rsidRPr="00C92CBB" w:rsidTr="005908E4"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5317AA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3C4B93" w:rsidRPr="005D0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C4B93" w:rsidRPr="005D01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3C4B93" w:rsidRPr="005D013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3C4B93" w:rsidRPr="005D01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Вид связи</w:t>
            </w: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Количество сре</w:t>
            </w:r>
            <w:proofErr w:type="gramStart"/>
            <w:r w:rsidRPr="005D013F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5D013F">
              <w:rPr>
                <w:rFonts w:ascii="Times New Roman" w:hAnsi="Times New Roman"/>
                <w:sz w:val="24"/>
                <w:szCs w:val="24"/>
              </w:rPr>
              <w:t>язи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725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Цена приобретения сре</w:t>
            </w:r>
            <w:proofErr w:type="gramStart"/>
            <w:r w:rsidRPr="005D013F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5D013F">
              <w:rPr>
                <w:rFonts w:ascii="Times New Roman" w:hAnsi="Times New Roman"/>
                <w:sz w:val="24"/>
                <w:szCs w:val="24"/>
              </w:rPr>
              <w:t xml:space="preserve">язи </w:t>
            </w:r>
            <w:hyperlink w:anchor="Par953" w:history="1">
              <w:r w:rsidR="00725092" w:rsidRPr="005D013F">
                <w:rPr>
                  <w:rFonts w:ascii="Times New Roman" w:hAnsi="Times New Roman"/>
                  <w:sz w:val="24"/>
                  <w:szCs w:val="24"/>
                </w:rPr>
                <w:t>(1)</w:t>
              </w:r>
            </w:hyperlink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</w:tr>
      <w:tr w:rsidR="003C4B93" w:rsidRPr="00C92CBB" w:rsidTr="005908E4">
        <w:trPr>
          <w:trHeight w:val="40"/>
        </w:trPr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4B93" w:rsidRPr="005D013F" w:rsidRDefault="003C4B93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6119E" w:rsidRPr="00C92CBB" w:rsidTr="005908E4">
        <w:tc>
          <w:tcPr>
            <w:tcW w:w="5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6119E" w:rsidRPr="005D013F" w:rsidRDefault="00F6119E" w:rsidP="008A6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Подвижная связь</w:t>
            </w:r>
          </w:p>
          <w:p w:rsidR="00F6119E" w:rsidRPr="005D013F" w:rsidRDefault="00F6119E" w:rsidP="008A6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не более одной единицы в расчете на муниципального служащего, замещающего должность, относящуюся к высшей, главной или ведущей группе должностей муниципальной службы 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не более 15 тыс. рублей включительно за одну единицу в расчете на муниципального служащего, замещающего должность, относящуюся к высшей, главной или ведущей группе должностей муниципальной службы 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725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ежемесячные расходы не более 4 тыс. рублей </w:t>
            </w:r>
            <w:hyperlink w:anchor="Par954" w:history="1">
              <w:r w:rsidRPr="005D013F">
                <w:rPr>
                  <w:rFonts w:ascii="Times New Roman" w:hAnsi="Times New Roman"/>
                  <w:sz w:val="24"/>
                  <w:szCs w:val="24"/>
                </w:rPr>
                <w:t>(2)</w:t>
              </w:r>
            </w:hyperlink>
            <w:r w:rsidRPr="005D013F">
              <w:rPr>
                <w:rFonts w:ascii="Times New Roman" w:hAnsi="Times New Roman"/>
                <w:sz w:val="24"/>
                <w:szCs w:val="24"/>
              </w:rPr>
              <w:t xml:space="preserve"> включительно в расчете на муниципального служащего, замещающего должность, относящуюся к высшей, главной или ведущей группе должностей муниципальной службы 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Default="00F6119E" w:rsidP="00D94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группы должностей приводятся в соответствии с </w:t>
            </w:r>
            <w:hyperlink r:id="rId7" w:history="1">
              <w:r w:rsidRPr="005D013F">
                <w:rPr>
                  <w:rFonts w:ascii="Times New Roman" w:hAnsi="Times New Roman"/>
                  <w:sz w:val="24"/>
                  <w:szCs w:val="24"/>
                </w:rPr>
                <w:t>реестром</w:t>
              </w:r>
            </w:hyperlink>
            <w:r w:rsidRPr="005D013F">
              <w:rPr>
                <w:rFonts w:ascii="Times New Roman" w:hAnsi="Times New Roman"/>
                <w:sz w:val="24"/>
                <w:szCs w:val="24"/>
              </w:rPr>
              <w:t xml:space="preserve"> должностей муниципальной службы в Ставропольском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крае, утвержденным</w:t>
            </w:r>
            <w:r w:rsidRPr="005D013F">
              <w:rPr>
                <w:rFonts w:ascii="Times New Roman" w:hAnsi="Times New Roman"/>
                <w:sz w:val="24"/>
                <w:szCs w:val="24"/>
              </w:rPr>
              <w:t xml:space="preserve"> Законом Ставропольского края </w:t>
            </w:r>
            <w:proofErr w:type="gramStart"/>
            <w:r w:rsidRPr="005D013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F6119E" w:rsidRPr="005908E4" w:rsidRDefault="00F6119E" w:rsidP="00D94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18 декабря 2007 г. № 65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кз «О реестре должностей муниципальной службы в Ставропольском </w:t>
            </w:r>
            <w:r>
              <w:rPr>
                <w:rFonts w:ascii="Times New Roman" w:hAnsi="Times New Roman"/>
                <w:sz w:val="24"/>
                <w:szCs w:val="24"/>
              </w:rPr>
              <w:t>крае» (далее –</w:t>
            </w:r>
            <w:r w:rsidRPr="005D013F">
              <w:rPr>
                <w:rFonts w:ascii="Times New Roman" w:hAnsi="Times New Roman"/>
                <w:sz w:val="24"/>
                <w:szCs w:val="24"/>
              </w:rPr>
              <w:t xml:space="preserve"> Реестр)</w:t>
            </w:r>
          </w:p>
        </w:tc>
      </w:tr>
      <w:tr w:rsidR="00F6119E" w:rsidRPr="00C92CBB" w:rsidTr="005908E4">
        <w:tc>
          <w:tcPr>
            <w:tcW w:w="5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не более одной единицы в расчете на муниципального служащего, замещающего должность, относящуюся к старшей группе должностей муниципальной службы 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>не более 10 тыс. рублей включительно за одну единицу в расчете на муниципального служащего, замещающего должность, относящуюся к старшей группе должностей муниципальной службы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725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ежемесячные расходы не более 2 тыс. рублей </w:t>
            </w:r>
            <w:hyperlink w:anchor="Par954" w:history="1">
              <w:r w:rsidRPr="005D013F">
                <w:rPr>
                  <w:rFonts w:ascii="Times New Roman" w:hAnsi="Times New Roman"/>
                  <w:sz w:val="24"/>
                  <w:szCs w:val="24"/>
                </w:rPr>
                <w:t>(2)</w:t>
              </w:r>
            </w:hyperlink>
            <w:r w:rsidRPr="005D013F">
              <w:rPr>
                <w:rFonts w:ascii="Times New Roman" w:hAnsi="Times New Roman"/>
                <w:sz w:val="24"/>
                <w:szCs w:val="24"/>
              </w:rPr>
              <w:t xml:space="preserve"> в расчете на муниципального служащего, замещающего должность, относящуюся к старшей группе должностей муниципальной службы </w:t>
            </w:r>
          </w:p>
        </w:tc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9E" w:rsidRPr="005D013F" w:rsidRDefault="00F6119E" w:rsidP="000C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13F">
              <w:rPr>
                <w:rFonts w:ascii="Times New Roman" w:hAnsi="Times New Roman"/>
                <w:sz w:val="24"/>
                <w:szCs w:val="24"/>
              </w:rPr>
              <w:t xml:space="preserve">категории и группы должностей приводятся в соответствии с </w:t>
            </w:r>
            <w:hyperlink r:id="rId8" w:history="1">
              <w:r w:rsidRPr="005D013F">
                <w:rPr>
                  <w:rFonts w:ascii="Times New Roman" w:hAnsi="Times New Roman"/>
                  <w:sz w:val="24"/>
                  <w:szCs w:val="24"/>
                </w:rPr>
                <w:t>Реестром</w:t>
              </w:r>
            </w:hyperlink>
          </w:p>
        </w:tc>
      </w:tr>
    </w:tbl>
    <w:p w:rsidR="005D013F" w:rsidRDefault="005D013F" w:rsidP="003C4B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953"/>
      <w:bookmarkEnd w:id="2"/>
    </w:p>
    <w:p w:rsidR="00725092" w:rsidRPr="00ED0CED" w:rsidRDefault="00725092" w:rsidP="00435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CED">
        <w:rPr>
          <w:rFonts w:ascii="Times New Roman" w:hAnsi="Times New Roman"/>
          <w:sz w:val="28"/>
          <w:szCs w:val="28"/>
        </w:rPr>
        <w:t>Примечание:</w:t>
      </w:r>
    </w:p>
    <w:p w:rsidR="003C4B93" w:rsidRPr="00ED0CED" w:rsidRDefault="001E5A6F" w:rsidP="00435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CED">
        <w:rPr>
          <w:rFonts w:ascii="Times New Roman" w:hAnsi="Times New Roman"/>
          <w:sz w:val="28"/>
          <w:szCs w:val="28"/>
        </w:rPr>
        <w:t>1.</w:t>
      </w:r>
      <w:r w:rsidR="006679F5">
        <w:rPr>
          <w:rFonts w:ascii="Times New Roman" w:hAnsi="Times New Roman"/>
          <w:sz w:val="28"/>
          <w:szCs w:val="28"/>
        </w:rPr>
        <w:t> </w:t>
      </w:r>
      <w:r w:rsidR="003C4B93" w:rsidRPr="00ED0CED">
        <w:rPr>
          <w:rFonts w:ascii="Times New Roman" w:hAnsi="Times New Roman"/>
          <w:sz w:val="28"/>
          <w:szCs w:val="28"/>
        </w:rPr>
        <w:t>Периодичность приобретения сре</w:t>
      </w:r>
      <w:proofErr w:type="gramStart"/>
      <w:r w:rsidR="003C4B93" w:rsidRPr="00ED0CED">
        <w:rPr>
          <w:rFonts w:ascii="Times New Roman" w:hAnsi="Times New Roman"/>
          <w:sz w:val="28"/>
          <w:szCs w:val="28"/>
        </w:rPr>
        <w:t>дств св</w:t>
      </w:r>
      <w:proofErr w:type="gramEnd"/>
      <w:r w:rsidR="003C4B93" w:rsidRPr="00ED0CED">
        <w:rPr>
          <w:rFonts w:ascii="Times New Roman" w:hAnsi="Times New Roman"/>
          <w:sz w:val="28"/>
          <w:szCs w:val="28"/>
        </w:rPr>
        <w:t>язи определяется</w:t>
      </w:r>
      <w:r w:rsidR="00A24D3C">
        <w:rPr>
          <w:rFonts w:ascii="Times New Roman" w:hAnsi="Times New Roman"/>
          <w:sz w:val="28"/>
          <w:szCs w:val="28"/>
        </w:rPr>
        <w:t xml:space="preserve"> </w:t>
      </w:r>
      <w:r w:rsidR="003C4B93" w:rsidRPr="00ED0CED">
        <w:rPr>
          <w:rFonts w:ascii="Times New Roman" w:hAnsi="Times New Roman"/>
          <w:sz w:val="28"/>
          <w:szCs w:val="28"/>
        </w:rPr>
        <w:t>максимальным сроком полезного использования и составляет пять лет.</w:t>
      </w:r>
    </w:p>
    <w:p w:rsidR="003C4B93" w:rsidRPr="00ED0CED" w:rsidRDefault="001E5A6F" w:rsidP="00435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954"/>
      <w:bookmarkEnd w:id="3"/>
      <w:r w:rsidRPr="00ED0CE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3C4B93" w:rsidRPr="00ED0CED">
        <w:rPr>
          <w:rFonts w:ascii="Times New Roman" w:hAnsi="Times New Roman"/>
          <w:sz w:val="28"/>
          <w:szCs w:val="28"/>
        </w:rPr>
        <w:t xml:space="preserve">Объем расходов, рассчитанный с применением нормативных затрат на приобретение подвижной связи, может быть изменен по решению </w:t>
      </w:r>
      <w:r w:rsidR="00424456">
        <w:rPr>
          <w:rFonts w:ascii="Times New Roman" w:hAnsi="Times New Roman"/>
          <w:bCs/>
          <w:sz w:val="28"/>
          <w:szCs w:val="28"/>
        </w:rPr>
        <w:t>председателя</w:t>
      </w:r>
      <w:r w:rsidR="00ED0CED" w:rsidRPr="00ED0CED">
        <w:rPr>
          <w:rFonts w:ascii="Times New Roman" w:hAnsi="Times New Roman"/>
          <w:bCs/>
          <w:sz w:val="28"/>
          <w:szCs w:val="28"/>
        </w:rPr>
        <w:t xml:space="preserve"> Ставропольской городской Думы (для обеспечения функций </w:t>
      </w:r>
      <w:r w:rsidR="002E1738">
        <w:rPr>
          <w:rFonts w:ascii="Times New Roman" w:hAnsi="Times New Roman"/>
          <w:bCs/>
          <w:sz w:val="28"/>
          <w:szCs w:val="28"/>
        </w:rPr>
        <w:t xml:space="preserve">Ставропольской </w:t>
      </w:r>
      <w:r w:rsidR="00ED0CED" w:rsidRPr="00ED0CED">
        <w:rPr>
          <w:rFonts w:ascii="Times New Roman" w:hAnsi="Times New Roman"/>
          <w:bCs/>
          <w:sz w:val="28"/>
          <w:szCs w:val="28"/>
        </w:rPr>
        <w:t>городской Думы),</w:t>
      </w:r>
      <w:r w:rsidR="00424456">
        <w:rPr>
          <w:rFonts w:ascii="Times New Roman" w:hAnsi="Times New Roman"/>
          <w:bCs/>
          <w:sz w:val="28"/>
          <w:szCs w:val="28"/>
        </w:rPr>
        <w:t xml:space="preserve"> председателя</w:t>
      </w:r>
      <w:r w:rsidR="00D21FF4">
        <w:rPr>
          <w:rFonts w:ascii="Times New Roman" w:hAnsi="Times New Roman"/>
          <w:bCs/>
          <w:sz w:val="28"/>
          <w:szCs w:val="28"/>
        </w:rPr>
        <w:t xml:space="preserve"> контрольно-</w:t>
      </w:r>
      <w:r w:rsidR="00ED0CED" w:rsidRPr="00ED0CED">
        <w:rPr>
          <w:rFonts w:ascii="Times New Roman" w:hAnsi="Times New Roman"/>
          <w:bCs/>
          <w:sz w:val="28"/>
          <w:szCs w:val="28"/>
        </w:rPr>
        <w:t>счетной палаты города</w:t>
      </w:r>
      <w:r w:rsidR="00353DDC" w:rsidRPr="00353DDC">
        <w:rPr>
          <w:rFonts w:ascii="Times New Roman" w:hAnsi="Times New Roman"/>
          <w:bCs/>
          <w:sz w:val="28"/>
          <w:szCs w:val="28"/>
        </w:rPr>
        <w:t xml:space="preserve"> </w:t>
      </w:r>
      <w:r w:rsidR="00353DDC">
        <w:rPr>
          <w:rFonts w:ascii="Times New Roman" w:hAnsi="Times New Roman"/>
          <w:bCs/>
          <w:sz w:val="28"/>
          <w:szCs w:val="28"/>
        </w:rPr>
        <w:t>Ставрополя</w:t>
      </w:r>
      <w:r w:rsidR="00B9662D">
        <w:rPr>
          <w:rFonts w:ascii="Times New Roman" w:hAnsi="Times New Roman"/>
          <w:bCs/>
          <w:sz w:val="28"/>
          <w:szCs w:val="28"/>
        </w:rPr>
        <w:t xml:space="preserve"> </w:t>
      </w:r>
      <w:r w:rsidR="00ED0CED" w:rsidRPr="00ED0CED">
        <w:rPr>
          <w:rFonts w:ascii="Times New Roman" w:hAnsi="Times New Roman"/>
          <w:bCs/>
          <w:sz w:val="28"/>
          <w:szCs w:val="28"/>
        </w:rPr>
        <w:t>(для о</w:t>
      </w:r>
      <w:r w:rsidR="00D21FF4">
        <w:rPr>
          <w:rFonts w:ascii="Times New Roman" w:hAnsi="Times New Roman"/>
          <w:bCs/>
          <w:sz w:val="28"/>
          <w:szCs w:val="28"/>
        </w:rPr>
        <w:t>беспечения функций контрольно-</w:t>
      </w:r>
      <w:r w:rsidR="00ED0CED" w:rsidRPr="00ED0CED">
        <w:rPr>
          <w:rFonts w:ascii="Times New Roman" w:hAnsi="Times New Roman"/>
          <w:bCs/>
          <w:sz w:val="28"/>
          <w:szCs w:val="28"/>
        </w:rPr>
        <w:t>счетной палаты</w:t>
      </w:r>
      <w:r w:rsidR="001C10B3" w:rsidRPr="001C10B3">
        <w:rPr>
          <w:rFonts w:ascii="Times New Roman" w:hAnsi="Times New Roman"/>
          <w:bCs/>
          <w:sz w:val="28"/>
          <w:szCs w:val="28"/>
        </w:rPr>
        <w:t xml:space="preserve"> города </w:t>
      </w:r>
      <w:r w:rsidR="001C10B3">
        <w:rPr>
          <w:rFonts w:ascii="Times New Roman" w:hAnsi="Times New Roman"/>
          <w:bCs/>
          <w:sz w:val="28"/>
          <w:szCs w:val="28"/>
        </w:rPr>
        <w:t>Ставрополя</w:t>
      </w:r>
      <w:r w:rsidR="00ED0CED" w:rsidRPr="00ED0CED">
        <w:rPr>
          <w:rFonts w:ascii="Times New Roman" w:hAnsi="Times New Roman"/>
          <w:bCs/>
          <w:sz w:val="28"/>
          <w:szCs w:val="28"/>
        </w:rPr>
        <w:t>),</w:t>
      </w:r>
      <w:r w:rsidR="00424456">
        <w:rPr>
          <w:rFonts w:ascii="Times New Roman" w:hAnsi="Times New Roman"/>
          <w:bCs/>
          <w:sz w:val="28"/>
          <w:szCs w:val="28"/>
        </w:rPr>
        <w:t xml:space="preserve"> главы</w:t>
      </w:r>
      <w:r w:rsidR="00ED0CED" w:rsidRPr="00ED0CED">
        <w:rPr>
          <w:rFonts w:ascii="Times New Roman" w:hAnsi="Times New Roman"/>
          <w:bCs/>
          <w:sz w:val="28"/>
          <w:szCs w:val="28"/>
        </w:rPr>
        <w:t xml:space="preserve"> города Ставрополя (для обеспечения функций администрации города</w:t>
      </w:r>
      <w:r w:rsidR="008B6D8D">
        <w:rPr>
          <w:rFonts w:ascii="Times New Roman" w:hAnsi="Times New Roman"/>
          <w:bCs/>
          <w:sz w:val="28"/>
          <w:szCs w:val="28"/>
        </w:rPr>
        <w:t xml:space="preserve"> Ставрополя</w:t>
      </w:r>
      <w:r w:rsidR="00ED0CED" w:rsidRPr="00ED0CED">
        <w:rPr>
          <w:rFonts w:ascii="Times New Roman" w:hAnsi="Times New Roman"/>
          <w:bCs/>
          <w:sz w:val="28"/>
          <w:szCs w:val="28"/>
        </w:rPr>
        <w:t xml:space="preserve">, </w:t>
      </w:r>
      <w:r w:rsidR="00A24D3C">
        <w:rPr>
          <w:rFonts w:ascii="Times New Roman" w:hAnsi="Times New Roman"/>
          <w:bCs/>
          <w:sz w:val="28"/>
          <w:szCs w:val="28"/>
        </w:rPr>
        <w:t>подведомственных казенных</w:t>
      </w:r>
      <w:r w:rsidR="00ED0CED" w:rsidRPr="00ED0CED">
        <w:rPr>
          <w:rFonts w:ascii="Times New Roman" w:hAnsi="Times New Roman"/>
          <w:bCs/>
          <w:sz w:val="28"/>
          <w:szCs w:val="28"/>
        </w:rPr>
        <w:t xml:space="preserve"> учреждени</w:t>
      </w:r>
      <w:r w:rsidR="00A24D3C">
        <w:rPr>
          <w:rFonts w:ascii="Times New Roman" w:hAnsi="Times New Roman"/>
          <w:bCs/>
          <w:sz w:val="28"/>
          <w:szCs w:val="28"/>
        </w:rPr>
        <w:t>й</w:t>
      </w:r>
      <w:r w:rsidR="00424456">
        <w:rPr>
          <w:rFonts w:ascii="Times New Roman" w:hAnsi="Times New Roman"/>
          <w:bCs/>
          <w:sz w:val="28"/>
          <w:szCs w:val="28"/>
        </w:rPr>
        <w:t>), руководителя</w:t>
      </w:r>
      <w:r w:rsidR="008A60F9">
        <w:rPr>
          <w:rFonts w:ascii="Times New Roman" w:hAnsi="Times New Roman"/>
          <w:bCs/>
          <w:sz w:val="28"/>
          <w:szCs w:val="28"/>
        </w:rPr>
        <w:t xml:space="preserve"> органа администрации города</w:t>
      </w:r>
      <w:r w:rsidR="008B6D8D">
        <w:rPr>
          <w:rFonts w:ascii="Times New Roman" w:hAnsi="Times New Roman"/>
          <w:bCs/>
          <w:sz w:val="28"/>
          <w:szCs w:val="28"/>
        </w:rPr>
        <w:t xml:space="preserve"> Ставрополя</w:t>
      </w:r>
      <w:r w:rsidR="008A60F9">
        <w:rPr>
          <w:rFonts w:ascii="Times New Roman" w:hAnsi="Times New Roman"/>
          <w:bCs/>
          <w:sz w:val="28"/>
          <w:szCs w:val="28"/>
        </w:rPr>
        <w:t xml:space="preserve"> </w:t>
      </w:r>
      <w:r w:rsidR="00ED0CED" w:rsidRPr="00ED0CED">
        <w:rPr>
          <w:rFonts w:ascii="Times New Roman" w:hAnsi="Times New Roman"/>
          <w:bCs/>
          <w:sz w:val="28"/>
          <w:szCs w:val="28"/>
        </w:rPr>
        <w:t>(для обеспечения функций соответствующего органа</w:t>
      </w:r>
      <w:proofErr w:type="gramEnd"/>
      <w:r w:rsidR="00ED0CED" w:rsidRPr="00ED0CED">
        <w:rPr>
          <w:rFonts w:ascii="Times New Roman" w:hAnsi="Times New Roman"/>
          <w:bCs/>
          <w:sz w:val="28"/>
          <w:szCs w:val="28"/>
        </w:rPr>
        <w:t xml:space="preserve"> администрации город</w:t>
      </w:r>
      <w:r w:rsidR="00424456">
        <w:rPr>
          <w:rFonts w:ascii="Times New Roman" w:hAnsi="Times New Roman"/>
          <w:bCs/>
          <w:sz w:val="28"/>
          <w:szCs w:val="28"/>
        </w:rPr>
        <w:t>а</w:t>
      </w:r>
      <w:r w:rsidR="008B6D8D">
        <w:rPr>
          <w:rFonts w:ascii="Times New Roman" w:hAnsi="Times New Roman"/>
          <w:bCs/>
          <w:sz w:val="28"/>
          <w:szCs w:val="28"/>
        </w:rPr>
        <w:t xml:space="preserve"> Ставрополя</w:t>
      </w:r>
      <w:r w:rsidR="00424456">
        <w:rPr>
          <w:rFonts w:ascii="Times New Roman" w:hAnsi="Times New Roman"/>
          <w:bCs/>
          <w:sz w:val="28"/>
          <w:szCs w:val="28"/>
        </w:rPr>
        <w:t xml:space="preserve">, </w:t>
      </w:r>
      <w:r w:rsidR="002E1738">
        <w:rPr>
          <w:rFonts w:ascii="Times New Roman" w:hAnsi="Times New Roman"/>
          <w:bCs/>
          <w:sz w:val="28"/>
          <w:szCs w:val="28"/>
        </w:rPr>
        <w:t xml:space="preserve">подведомственных </w:t>
      </w:r>
      <w:r w:rsidR="00424456">
        <w:rPr>
          <w:rFonts w:ascii="Times New Roman" w:hAnsi="Times New Roman"/>
          <w:bCs/>
          <w:sz w:val="28"/>
          <w:szCs w:val="28"/>
        </w:rPr>
        <w:t>казенны</w:t>
      </w:r>
      <w:r w:rsidR="00A24D3C">
        <w:rPr>
          <w:rFonts w:ascii="Times New Roman" w:hAnsi="Times New Roman"/>
          <w:bCs/>
          <w:sz w:val="28"/>
          <w:szCs w:val="28"/>
        </w:rPr>
        <w:t>х</w:t>
      </w:r>
      <w:r w:rsidR="00424456">
        <w:rPr>
          <w:rFonts w:ascii="Times New Roman" w:hAnsi="Times New Roman"/>
          <w:bCs/>
          <w:sz w:val="28"/>
          <w:szCs w:val="28"/>
        </w:rPr>
        <w:t xml:space="preserve"> учреждени</w:t>
      </w:r>
      <w:r w:rsidR="00A24D3C">
        <w:rPr>
          <w:rFonts w:ascii="Times New Roman" w:hAnsi="Times New Roman"/>
          <w:bCs/>
          <w:sz w:val="28"/>
          <w:szCs w:val="28"/>
        </w:rPr>
        <w:t>й</w:t>
      </w:r>
      <w:r w:rsidR="00424456">
        <w:rPr>
          <w:rFonts w:ascii="Times New Roman" w:hAnsi="Times New Roman"/>
          <w:bCs/>
          <w:sz w:val="28"/>
          <w:szCs w:val="28"/>
        </w:rPr>
        <w:t xml:space="preserve">), </w:t>
      </w:r>
      <w:r w:rsidR="003C4B93" w:rsidRPr="00ED0CE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E1738">
        <w:rPr>
          <w:rFonts w:ascii="Times New Roman" w:hAnsi="Times New Roman"/>
          <w:sz w:val="28"/>
          <w:szCs w:val="28"/>
        </w:rPr>
        <w:t>пределах</w:t>
      </w:r>
      <w:proofErr w:type="gramEnd"/>
      <w:r w:rsidR="002E1738">
        <w:rPr>
          <w:rFonts w:ascii="Times New Roman" w:hAnsi="Times New Roman"/>
          <w:sz w:val="28"/>
          <w:szCs w:val="28"/>
        </w:rPr>
        <w:t xml:space="preserve"> утвержденных на указанные</w:t>
      </w:r>
      <w:r w:rsidR="003C4B93" w:rsidRPr="00ED0CED">
        <w:rPr>
          <w:rFonts w:ascii="Times New Roman" w:hAnsi="Times New Roman"/>
          <w:sz w:val="28"/>
          <w:szCs w:val="28"/>
        </w:rPr>
        <w:t xml:space="preserve"> цели лимитов бюджетных обязательств по соответствующему коду классификации расходов бюджетов.</w:t>
      </w:r>
      <w:bookmarkStart w:id="4" w:name="Par960"/>
      <w:bookmarkEnd w:id="4"/>
      <w:r w:rsidR="003C4B93" w:rsidRPr="00ED0CED">
        <w:rPr>
          <w:rFonts w:ascii="Times New Roman" w:hAnsi="Times New Roman"/>
          <w:sz w:val="28"/>
          <w:szCs w:val="28"/>
        </w:rPr>
        <w:t xml:space="preserve"> </w:t>
      </w:r>
    </w:p>
    <w:p w:rsidR="00873D8F" w:rsidRPr="00ED0CED" w:rsidRDefault="00873D8F">
      <w:pPr>
        <w:rPr>
          <w:rFonts w:ascii="Times New Roman" w:hAnsi="Times New Roman"/>
          <w:sz w:val="28"/>
          <w:szCs w:val="28"/>
        </w:rPr>
      </w:pPr>
    </w:p>
    <w:sectPr w:rsidR="00873D8F" w:rsidRPr="00ED0CED" w:rsidSect="00F45F8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A65" w:rsidRDefault="00685A65" w:rsidP="00F45F88">
      <w:pPr>
        <w:spacing w:after="0" w:line="240" w:lineRule="auto"/>
      </w:pPr>
      <w:r>
        <w:separator/>
      </w:r>
    </w:p>
  </w:endnote>
  <w:endnote w:type="continuationSeparator" w:id="0">
    <w:p w:rsidR="00685A65" w:rsidRDefault="00685A65" w:rsidP="00F4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A65" w:rsidRDefault="00685A65" w:rsidP="00F45F88">
      <w:pPr>
        <w:spacing w:after="0" w:line="240" w:lineRule="auto"/>
      </w:pPr>
      <w:r>
        <w:separator/>
      </w:r>
    </w:p>
  </w:footnote>
  <w:footnote w:type="continuationSeparator" w:id="0">
    <w:p w:rsidR="00685A65" w:rsidRDefault="00685A65" w:rsidP="00F4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</w:rPr>
      <w:id w:val="8563176"/>
      <w:docPartObj>
        <w:docPartGallery w:val="Page Numbers (Top of Page)"/>
        <w:docPartUnique/>
      </w:docPartObj>
    </w:sdtPr>
    <w:sdtContent>
      <w:p w:rsidR="00F45F88" w:rsidRPr="001C10B3" w:rsidRDefault="00380E00">
        <w:pPr>
          <w:pStyle w:val="a3"/>
          <w:jc w:val="center"/>
          <w:rPr>
            <w:sz w:val="28"/>
          </w:rPr>
        </w:pPr>
        <w:r w:rsidRPr="001C10B3">
          <w:rPr>
            <w:sz w:val="28"/>
          </w:rPr>
          <w:fldChar w:fldCharType="begin"/>
        </w:r>
        <w:r w:rsidR="00F21796" w:rsidRPr="001C10B3">
          <w:rPr>
            <w:sz w:val="28"/>
          </w:rPr>
          <w:instrText xml:space="preserve"> PAGE   \* MERGEFORMAT </w:instrText>
        </w:r>
        <w:r w:rsidRPr="001C10B3">
          <w:rPr>
            <w:sz w:val="28"/>
          </w:rPr>
          <w:fldChar w:fldCharType="separate"/>
        </w:r>
        <w:r w:rsidR="0044156F">
          <w:rPr>
            <w:noProof/>
            <w:sz w:val="28"/>
          </w:rPr>
          <w:t>2</w:t>
        </w:r>
        <w:r w:rsidRPr="001C10B3">
          <w:rPr>
            <w:sz w:val="28"/>
          </w:rPr>
          <w:fldChar w:fldCharType="end"/>
        </w:r>
      </w:p>
    </w:sdtContent>
  </w:sdt>
  <w:p w:rsidR="00F45F88" w:rsidRDefault="00F45F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B93"/>
    <w:rsid w:val="000076F1"/>
    <w:rsid w:val="00073621"/>
    <w:rsid w:val="000B1EDF"/>
    <w:rsid w:val="001B20CE"/>
    <w:rsid w:val="001C10B3"/>
    <w:rsid w:val="001E5A6F"/>
    <w:rsid w:val="002957CC"/>
    <w:rsid w:val="002E1738"/>
    <w:rsid w:val="00353DDC"/>
    <w:rsid w:val="00380E00"/>
    <w:rsid w:val="003C4B93"/>
    <w:rsid w:val="003D7196"/>
    <w:rsid w:val="00424456"/>
    <w:rsid w:val="0043551A"/>
    <w:rsid w:val="0044156F"/>
    <w:rsid w:val="004E2D6C"/>
    <w:rsid w:val="005317AA"/>
    <w:rsid w:val="005475A3"/>
    <w:rsid w:val="005908E4"/>
    <w:rsid w:val="005D013F"/>
    <w:rsid w:val="00634095"/>
    <w:rsid w:val="00651A18"/>
    <w:rsid w:val="006679F5"/>
    <w:rsid w:val="00685A65"/>
    <w:rsid w:val="00725092"/>
    <w:rsid w:val="007F6516"/>
    <w:rsid w:val="00847FE6"/>
    <w:rsid w:val="00873D8F"/>
    <w:rsid w:val="00895A85"/>
    <w:rsid w:val="008A15CC"/>
    <w:rsid w:val="008A60F9"/>
    <w:rsid w:val="008B6D8D"/>
    <w:rsid w:val="00915161"/>
    <w:rsid w:val="009A3A77"/>
    <w:rsid w:val="009A50E4"/>
    <w:rsid w:val="009E591D"/>
    <w:rsid w:val="00A1565A"/>
    <w:rsid w:val="00A24D3C"/>
    <w:rsid w:val="00A26828"/>
    <w:rsid w:val="00A422FC"/>
    <w:rsid w:val="00B03635"/>
    <w:rsid w:val="00B23E6B"/>
    <w:rsid w:val="00B81FC0"/>
    <w:rsid w:val="00B9662D"/>
    <w:rsid w:val="00BB65B2"/>
    <w:rsid w:val="00BD0941"/>
    <w:rsid w:val="00C03626"/>
    <w:rsid w:val="00C477E6"/>
    <w:rsid w:val="00C91296"/>
    <w:rsid w:val="00D21FF4"/>
    <w:rsid w:val="00D467A4"/>
    <w:rsid w:val="00D94C1E"/>
    <w:rsid w:val="00E520E1"/>
    <w:rsid w:val="00EA5024"/>
    <w:rsid w:val="00ED0CED"/>
    <w:rsid w:val="00F21796"/>
    <w:rsid w:val="00F45F88"/>
    <w:rsid w:val="00F6119E"/>
    <w:rsid w:val="00FD42B8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F8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F8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5026F20E63E9C687A43C90718EE18838A3BEE7632D87C4AFE72DE1A821B17C830BFECCBF12E87CE4B339SEi8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5026F20E63E9C687A43C90718EE18838A3BEE7632D87C4AFE72DE1A821B17C830BFECCBF12E87CE4B339SEi8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5D2C4-AC1D-4648-BD61-48F13F4A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LS.Aibazova</dc:creator>
  <cp:keywords/>
  <dc:description/>
  <cp:lastModifiedBy>LS.Aibazova</cp:lastModifiedBy>
  <cp:revision>42</cp:revision>
  <dcterms:created xsi:type="dcterms:W3CDTF">2016-08-18T11:33:00Z</dcterms:created>
  <dcterms:modified xsi:type="dcterms:W3CDTF">2016-11-14T08:59:00Z</dcterms:modified>
</cp:coreProperties>
</file>