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cs="Tahoma" w:eastAsia="Tahoma"/>
                <w:b w:val="0"/>
                <w:i w:val="0"/>
                <w:strike w:val="false"/>
                <w:sz w:val="20"/>
              </w:rPr>
            </w:pPr>
            <w:r>
              <w:rPr>
                <w:rFonts w:ascii="Tahoma" w:hAnsi="Tahoma" w:cs="Tahoma" w:eastAsia="Tahoma"/>
                <w:b w:val="0"/>
                <w:i w:val="0"/>
                <w:strike w:val="false"/>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48"/>
              </w:rPr>
            </w:pPr>
            <w:r>
              <w:rPr>
                <w:rFonts w:ascii="Tahoma" w:hAnsi="Tahoma" w:cs="Tahoma" w:eastAsia="Tahoma"/>
                <w:b w:val="0"/>
                <w:i w:val="0"/>
                <w:strike w:val="false"/>
                <w:sz w:val="48"/>
              </w:rPr>
              <w:t xml:space="preserve">Постановление администрации г. Ставрополя от 03.11.2022 N 2360</w:t>
            </w:r>
            <w:r>
              <w:rPr>
                <w:rFonts w:ascii="Tahoma" w:hAnsi="Tahoma" w:cs="Tahoma" w:eastAsia="Tahoma"/>
                <w:b w:val="0"/>
                <w:i w:val="0"/>
                <w:strike w:val="false"/>
                <w:sz w:val="48"/>
              </w:rPr>
              <w:br/>
            </w:r>
            <w:r>
              <w:rPr>
                <w:rFonts w:ascii="Tahoma" w:hAnsi="Tahoma" w:cs="Tahoma" w:eastAsia="Tahoma"/>
                <w:b w:val="0"/>
                <w:i w:val="0"/>
                <w:strike w:val="false"/>
                <w:sz w:val="48"/>
              </w:rPr>
              <w:t xml:space="preserve">(ред. от 27.12.2023)</w:t>
            </w:r>
            <w:r>
              <w:rPr>
                <w:rFonts w:ascii="Tahoma" w:hAnsi="Tahoma" w:cs="Tahoma" w:eastAsia="Tahoma"/>
                <w:b w:val="0"/>
                <w:i w:val="0"/>
                <w:strike w:val="false"/>
                <w:sz w:val="48"/>
              </w:rPr>
              <w:br/>
            </w:r>
            <w:r>
              <w:rPr>
                <w:rFonts w:ascii="Tahoma" w:hAnsi="Tahoma" w:cs="Tahoma" w:eastAsia="Tahoma"/>
                <w:b w:val="0"/>
                <w:i w:val="0"/>
                <w:strike w:val="false"/>
                <w:sz w:val="48"/>
              </w:rPr>
              <w:t xml:space="preserve">"Об утверждении муниципальной программы "Управление муниципальными финансами и муниципальным долгом города Ставрополя"</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28"/>
              </w:rPr>
            </w:pPr>
            <w:r>
              <w:rPr>
                <w:rFonts w:ascii="Tahoma" w:hAnsi="Tahoma" w:cs="Tahoma" w:eastAsia="Tahoma"/>
                <w:b w:val="0"/>
                <w:i w:val="0"/>
                <w:strike w:val="false"/>
                <w:sz w:val="28"/>
              </w:rPr>
              <w:t xml:space="preserve">Документ предоставлен </w:t>
            </w:r>
            <w:hyperlink r:id="rId15">
              <w:r>
                <w:rPr>
                  <w:rFonts w:ascii="Tahoma" w:hAnsi="Tahoma" w:cs="Tahoma" w:eastAsia="Tahoma"/>
                  <w:b/>
                  <w:i w:val="0"/>
                  <w:strike w:val="false"/>
                  <w:color w:val="0000FF"/>
                  <w:sz w:val="28"/>
                </w:rPr>
                <w:t xml:space="preserve">КонсультантПлюс</w:t>
              </w:r>
              <w:r>
                <w:rPr>
                  <w:rFonts w:ascii="Tahoma" w:hAnsi="Tahoma" w:cs="Tahoma" w:eastAsia="Tahoma"/>
                  <w:b/>
                  <w:i w:val="0"/>
                  <w:strike w:val="false"/>
                  <w:color w:val="0000FF"/>
                  <w:sz w:val="28"/>
                </w:rPr>
                <w:br/>
              </w:r>
              <w:r>
                <w:rPr>
                  <w:rFonts w:ascii="Tahoma" w:hAnsi="Tahoma" w:cs="Tahoma" w:eastAsia="Tahoma"/>
                  <w:b/>
                  <w:i w:val="0"/>
                  <w:strike w:val="false"/>
                  <w:color w:val="0000FF"/>
                  <w:sz w:val="28"/>
                </w:rPr>
                <w:br/>
              </w:r>
            </w:hyperlink>
            <w:hyperlink r:id="rId16">
              <w:r>
                <w:rPr>
                  <w:rFonts w:ascii="Tahoma" w:hAnsi="Tahoma" w:cs="Tahoma" w:eastAsia="Tahoma"/>
                  <w:b/>
                  <w:i w:val="0"/>
                  <w:strike w:val="false"/>
                  <w:color w:val="0000FF"/>
                  <w:sz w:val="28"/>
                </w:rPr>
                <w:t xml:space="preserve">www.consultant.ru</w:t>
              </w:r>
            </w:hyperlink>
            <w:r>
              <w:rPr>
                <w:rFonts w:ascii="Tahoma" w:hAnsi="Tahoma" w:cs="Tahoma" w:eastAsia="Tahoma"/>
                <w:b w:val="0"/>
                <w:i w:val="0"/>
                <w:strike w:val="false"/>
                <w:sz w:val="28"/>
              </w:rPr>
              <w:br/>
            </w:r>
            <w:r>
              <w:rPr>
                <w:rFonts w:ascii="Tahoma" w:hAnsi="Tahoma" w:cs="Tahoma" w:eastAsia="Tahoma"/>
                <w:b w:val="0"/>
                <w:i w:val="0"/>
                <w:strike w:val="false"/>
                <w:sz w:val="28"/>
              </w:rPr>
              <w:br/>
            </w:r>
            <w:r>
              <w:rPr>
                <w:rFonts w:ascii="Tahoma" w:hAnsi="Tahoma" w:cs="Tahoma" w:eastAsia="Tahoma"/>
                <w:b w:val="0"/>
                <w:i w:val="0"/>
                <w:strike w:val="false"/>
                <w:sz w:val="28"/>
              </w:rPr>
              <w:t xml:space="preserve">Дата сохранения: 02.02.2024</w:t>
            </w:r>
            <w:r>
              <w:rPr>
                <w:rFonts w:ascii="Tahoma" w:hAnsi="Tahoma" w:cs="Tahoma" w:eastAsia="Tahoma"/>
                <w:b w:val="0"/>
                <w:i w:val="0"/>
                <w:strike w:val="false"/>
                <w:sz w:val="28"/>
              </w:rPr>
              <w:br/>
            </w:r>
            <w:r>
              <w:rPr>
                <w:rFonts w:ascii="Tahoma" w:hAnsi="Tahoma" w:cs="Tahoma" w:eastAsia="Tahoma"/>
                <w:b w:val="0"/>
                <w:i w:val="0"/>
                <w:strike w:val="false"/>
                <w:sz w:val="28"/>
              </w:rPr>
              <w:t xml:space="preserve"> </w:t>
            </w:r>
          </w:p>
        </w:tc>
      </w:tr>
    </w:tbl>
    <w:p>
      <w:pPr>
        <w:pStyle w:val="Style_0"/>
        <w:spacing w:before="0" w:after="0" w:line="240" w:lineRule="auto"/>
        <w:ind w:left="0" w:firstLine="0"/>
        <w:jc w:val="both"/>
        <w:outlineLvl w:val="0"/>
        <w:rPr>
          <w:rFonts w:ascii="Arial" w:hAnsi="Arial" w:cs="Arial" w:eastAsia="Arial"/>
          <w:b w:val="0"/>
          <w:i w:val="0"/>
          <w:strike w:val="false"/>
          <w:sz w:val="20"/>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Arial" w:hAnsi="Arial" w:cs="Arial" w:eastAsia="Arial"/>
          <w:b w:val="0"/>
          <w:i w:val="0"/>
          <w:strike w:val="false"/>
          <w:sz w:val="20"/>
        </w:rPr>
      </w:pPr>
    </w:p>
    <w:p>
      <w:pPr>
        <w:pStyle w:val="Style_2"/>
        <w:spacing w:before="0" w:after="0" w:line="240" w:lineRule="auto"/>
        <w:ind w:left="0" w:firstLine="0"/>
        <w:jc w:val="center"/>
        <w:outlineLvl w:val="0"/>
        <w:rPr>
          <w:rFonts w:ascii="Arial" w:hAnsi="Arial" w:cs="Arial" w:eastAsia="Arial"/>
          <w:b/>
          <w:i w:val="0"/>
          <w:strike w:val="false"/>
          <w:sz w:val="20"/>
        </w:rPr>
      </w:pPr>
      <w:r>
        <w:rPr>
          <w:rFonts w:ascii="Arial" w:hAnsi="Arial" w:cs="Arial" w:eastAsia="Arial"/>
          <w:b/>
          <w:i w:val="0"/>
          <w:strike w:val="false"/>
          <w:sz w:val="20"/>
        </w:rPr>
        <w:t xml:space="preserve">АДМИНИСТРАЦИЯ ГОРОДА СТАВРОПОЛЯ</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ПОСТАНОВЛЕНИЕ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от 3 ноября 2022 г. N 2360</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 УТВЕРЖДЕНИИ МУНИЦИПАЛЬНОЙ ПРОГРАММЫ "УПРАВЛЕНИЕ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МУНИЦИПАЛЬНЫМИ ФИНАНСАМИ И МУНИЦИПАЛЬНЫМ ДОЛГОМ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17">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N 2801)</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Бюджетным </w:t>
      </w:r>
      <w:hyperlink r:id="rId18">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федеральными законами от 06 октября 2003 г. </w:t>
      </w:r>
      <w:hyperlink r:id="rId19">
        <w:r>
          <w:rPr>
            <w:rFonts w:ascii="Arial" w:hAnsi="Arial" w:cs="Arial" w:eastAsia="Arial"/>
            <w:b w:val="0"/>
            <w:i w:val="0"/>
            <w:strike w:val="false"/>
            <w:color w:val="0000FF"/>
            <w:sz w:val="20"/>
          </w:rPr>
          <w:t xml:space="preserve">N 131-ФЗ</w:t>
        </w:r>
      </w:hyperlink>
      <w:r>
        <w:rPr>
          <w:rFonts w:ascii="Arial" w:hAnsi="Arial" w:cs="Arial" w:eastAsia="Arial"/>
          <w:b w:val="0"/>
          <w:i w:val="0"/>
          <w:strike w:val="false"/>
          <w:sz w:val="20"/>
        </w:rPr>
        <w:t xml:space="preserve"> "Об общих принципах организации местного самоуправления в Российской Федерации", от 28 июня 2014 г. </w:t>
      </w:r>
      <w:hyperlink r:id="rId20">
        <w:r>
          <w:rPr>
            <w:rFonts w:ascii="Arial" w:hAnsi="Arial" w:cs="Arial" w:eastAsia="Arial"/>
            <w:b w:val="0"/>
            <w:i w:val="0"/>
            <w:strike w:val="false"/>
            <w:color w:val="0000FF"/>
            <w:sz w:val="20"/>
          </w:rPr>
          <w:t xml:space="preserve">N 172-ФЗ</w:t>
        </w:r>
      </w:hyperlink>
      <w:r>
        <w:rPr>
          <w:rFonts w:ascii="Arial" w:hAnsi="Arial" w:cs="Arial" w:eastAsia="Arial"/>
          <w:b w:val="0"/>
          <w:i w:val="0"/>
          <w:strike w:val="false"/>
          <w:sz w:val="20"/>
        </w:rPr>
        <w:t xml:space="preserve"> "О стратегическом планировании в Российской Федерации", </w:t>
      </w:r>
      <w:hyperlink r:id="rId21">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Утвердить муниципальную </w:t>
      </w:r>
      <w:hyperlink>
        <w:r>
          <w:rPr>
            <w:rFonts w:ascii="Arial" w:hAnsi="Arial" w:cs="Arial" w:eastAsia="Arial"/>
            <w:b w:val="0"/>
            <w:i w:val="0"/>
            <w:strike w:val="false"/>
            <w:color w:val="0000FF"/>
            <w:sz w:val="20"/>
          </w:rPr>
          <w:t xml:space="preserve">программу</w:t>
        </w:r>
      </w:hyperlink>
      <w:r>
        <w:rPr>
          <w:rFonts w:ascii="Arial" w:hAnsi="Arial" w:cs="Arial" w:eastAsia="Arial"/>
          <w:b w:val="0"/>
          <w:i w:val="0"/>
          <w:strike w:val="false"/>
          <w:sz w:val="20"/>
        </w:rPr>
        <w:t xml:space="preserve"> "Управление муниципальными финансами и муниципальным долгом города Ставрополя" согласно приложению.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Настоящее постановление вступает в силу с 01 января 2023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Контроль исполнения настоящего постановления возложить на заместителя главы администрации города Ставрополя, руководителя комитета финансов и бюджета администрации города Ставрополя Бондаренко Н.А.</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Глава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И.И.УЛЬЯНЧЕНКО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0"/>
        <w:rPr>
          <w:rFonts w:ascii="Arial" w:hAnsi="Arial" w:cs="Arial" w:eastAsia="Arial"/>
          <w:b w:val="0"/>
          <w:i w:val="0"/>
          <w:strike w:val="false"/>
          <w:sz w:val="20"/>
        </w:rPr>
      </w:pPr>
      <w:r>
        <w:rPr>
          <w:rFonts w:ascii="Arial" w:hAnsi="Arial" w:cs="Arial" w:eastAsia="Arial"/>
          <w:b w:val="0"/>
          <w:i w:val="0"/>
          <w:strike w:val="false"/>
          <w:sz w:val="20"/>
        </w:rPr>
        <w:t xml:space="preserve">Приложение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постановлению</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от 03.11.2022 N 2360</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 w:name="Par32"/>
      <w:bookmarkEnd w:id="1"/>
      <w:r>
        <w:rPr>
          <w:rFonts w:ascii="Arial" w:hAnsi="Arial" w:cs="Arial" w:eastAsia="Arial"/>
          <w:b/>
          <w:i w:val="0"/>
          <w:strike w:val="false"/>
          <w:sz w:val="20"/>
        </w:rPr>
        <w:t xml:space="preserve">МУНИЦИПАЛЬНАЯ 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"УПРАВЛЕНИЕ МУНИЦИПАЛЬНЫМИ ФИНАНСАМИ И МУНИЦИПАЛЬНЫМ ДОЛГОМ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2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N 2801)</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"УПРАВЛЕНИЕ МУНИЦИПАЛЬНЫМИ ФИНАНСАМИ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МУНИЦИПАЛЬНЫМ ДОЛГОМ ГОРОДА СТАВРОПОЛЯ"</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муниципальной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"Управление муниципальными финансами и муниципальным долгом города Ставрополя" (далее - 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 администрации города Ставрополя (далее - комитет финансов и бюджета)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нет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нет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долгосрочной сбалансированности и устойчивости бюджета города Ставрополя (далее - бюджет города), повышение качества управления муниципальными финансами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(индикаторы) достижения цели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темп роста налоговых и неналоговых доходов бюджета города по сравнению с предыдущим годом;</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коэффициент покрытия расходов бюджета города собственными средствами без привлечения заемных средств;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оценка долговой устойчивости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просроченной кредиторской задолженности в общем объеме расходов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долгосрочной сбалансированности и устойчивости бюджета города за счет координации стратегического и бюджетного планирования;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налоговых и неналоговых доходов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совершенствование бюджетной политики и повышение эффективности использования бюджетных средств;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взвешенной долговой политики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совершенствование внутреннего муниципального финансового контроля и контроля в сфере закупок товаров, работ, услуг для обеспечения муниципальных нужд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прозрачности и открытости бюджета города и бюджетного процесса для граждан</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решения задач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отклонение показателей утвержденного бюджета города на очередной финансовый год от показателей бюджетного прогноза (в части расходов за счет средств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выполнение плана по налоговым и неналоговым доходам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города (без учета субвенций);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доходов бюджета города (без учета безвозмездных поступлений) на душу населения;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отношение недоимки по налогам, зачисляемым в бюджет города, к сумме налоговых доходов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отношение объема просроченной кредиторской задолженности, сложившейся по расходам бюджета города, к общему объему расходов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уровень достижения целевых значений показателей, предусмотренных в дорожной карте Ставропольского края, по соотношению средней заработной платы работников учреждений культуры и педагогических работников муниципальных учреждений дополнительного образования детей к средней заработной плате в Ставропольском крае;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 уровень собираемости по земельному налогу (отношение объема поступившего земельного налога к объему начисленного земельного налога);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муниципального долга города Ставрополя (далее - муниципальный долг) в общем объеме доходов бюджета города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расходов на обслуживание муниципального долга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годовая сумма платежей по погашению и обслуживанию муниципального долга,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в общем объеме налоговых и неналоговых доходов бюджета города и дотаций из бюджетов бюджетной системы Российской Федерации;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соотношение объема проверенных средств бюджета города и общего объема расходов бюджета города на соответствующий финансовый год (без учета расходов по обслуживанию муниципального долга);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размещение информации о бюджете города в социальных сетях</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финансирования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общий объем бюджетных ассигнований за счет средств бюджета города на реализацию Программы составляет 1889900,00 тыс. рублей, в том числе по годам:</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- 43500,00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- 346400,00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- 375000,00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- 375000,00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- 375000,00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- 375000,00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23">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темпов роста поступлений налоговых и неналоговых доходов бюджета города по сравнению с уровнем предыдущего года с 100,5 процента в 2023 году до 103 процентов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значения коэффициента покрытия расходов бюджета города собственными средствами без привлечения заемных средств с 0,9100 в 2023 году до 0,9180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отсутствие просроченной кредиторской задолженности в общем объеме расходов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сохранение позиции города Ставрополя в 2023 - 2028 годах в группе муниципальных образований с высокой долговой устойчивостью по результатам оценки долговой устойчивости;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снижение отклонения показателей утвержденного бюджета города на очередной финансовый год от показателей прогноза (в части расходов за счет средств бюджета города) до уровня не более 16,5 процента;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ежегодное (с 2021 года по 2028 год) выполнение плана по налоговым и неналоговым доходам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ежегодное сохранение доли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города (без учета субвенций) в пределах от 55 до 70 процентов;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объема доходов бюджета города (без учета безвозмездных поступлений) на душу населения города Ставрополя с 12,4 тыс. рублей в 2021 году до 13,1 тыс. рублей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снижение недоимки по налогам, зачисляемым в бюджет города, к сумме налоговых доходов бюджета города с 12,5 процента в 2023 году до 12 процентов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отсутствие просроченной кредиторской задолженности, сложившейся по расходам бюджета города;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сохранение достигнутых в 2018 году соотношений заработной платы работников муниципальных учреждений, подпадающих под действие указов Президента Российской Федерации от 7 мая 2012 года </w:t>
            </w:r>
            <w:hyperlink r:id="rId24">
              <w:r>
                <w:rPr>
                  <w:rFonts w:ascii="Arial" w:hAnsi="Arial" w:cs="Arial" w:eastAsia="Arial"/>
                  <w:b w:val="0"/>
                  <w:i w:val="0"/>
                  <w:strike w:val="false"/>
                  <w:color w:val="0000FF"/>
                  <w:sz w:val="20"/>
                </w:rPr>
                <w:t xml:space="preserve">N 597</w:t>
              </w:r>
            </w:hyperlink>
            <w:r>
              <w:rPr>
                <w:rFonts w:ascii="Arial" w:hAnsi="Arial" w:cs="Arial" w:eastAsia="Arial"/>
                <w:b w:val="0"/>
                <w:i w:val="0"/>
                <w:strike w:val="false"/>
                <w:sz w:val="20"/>
              </w:rPr>
              <w:t xml:space="preserve"> "О мероприятиях по реализации государственной социальной политики", от 1 июня 2012 года </w:t>
            </w:r>
            <w:hyperlink r:id="rId25">
              <w:r>
                <w:rPr>
                  <w:rFonts w:ascii="Arial" w:hAnsi="Arial" w:cs="Arial" w:eastAsia="Arial"/>
                  <w:b w:val="0"/>
                  <w:i w:val="0"/>
                  <w:strike w:val="false"/>
                  <w:color w:val="0000FF"/>
                  <w:sz w:val="20"/>
                </w:rPr>
                <w:t xml:space="preserve">N 761</w:t>
              </w:r>
            </w:hyperlink>
            <w:r>
              <w:rPr>
                <w:rFonts w:ascii="Arial" w:hAnsi="Arial" w:cs="Arial" w:eastAsia="Arial"/>
                <w:b w:val="0"/>
                <w:i w:val="0"/>
                <w:strike w:val="false"/>
                <w:sz w:val="20"/>
              </w:rPr>
              <w:t xml:space="preserve"> "О национальной стратегии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действий в интересах детей на 2012 - 2017 годы" и от 28 декабря 2012 года </w:t>
            </w:r>
            <w:hyperlink r:id="rId26">
              <w:r>
                <w:rPr>
                  <w:rFonts w:ascii="Arial" w:hAnsi="Arial" w:cs="Arial" w:eastAsia="Arial"/>
                  <w:b w:val="0"/>
                  <w:i w:val="0"/>
                  <w:strike w:val="false"/>
                  <w:color w:val="0000FF"/>
                  <w:sz w:val="20"/>
                </w:rPr>
                <w:t xml:space="preserve">N 1688</w:t>
              </w:r>
            </w:hyperlink>
            <w:r>
              <w:rPr>
                <w:rFonts w:ascii="Arial" w:hAnsi="Arial" w:cs="Arial" w:eastAsia="Arial"/>
                <w:b w:val="0"/>
                <w:i w:val="0"/>
                <w:strike w:val="false"/>
                <w:sz w:val="20"/>
              </w:rPr>
              <w:t xml:space="preserve"> "О некоторых мерах по реализации государственной политики в сфере защиты детей-сирот и детей, оставшихся без попечения родителей", к показателю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сдерживание роста расходов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достижение значения уровня собираемости по земельному налогу к 2024 году и сохранение его до 2028 года в размере не менее 90 процентов в условиях предоставления налоговых льгот (расходов) отдельным категориям налогоплательщиков;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ежегодное сохранение соотношения объема проверенных средств бюджета города и общего объема расходов бюджета города на соответствующий финансовый год (без учета расходов по обслуживанию муниципального долга) на уровне не менее 5 процентов;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размещение информации о бюджете города в социальных сетях</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а также достижения других стратегических целей социально-экономического развития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2017 - 2021 годах развитие бюджетной системы города Ставрополя осуществлялось в рамках муниципальной программы "Управление муниципальными финансами и муниципальным долгом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указанной муниципальной программы позволила сформировать нормативную правовую базу, способствующую оптимизации управления бюджетными средствами, повышению эффективности бюджетных расходов, переходу к бюджетированию, ориентированному на результат.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Информация об основных показателях исполнения бюджета города за 2018 - 2021 годы приведена в таблице.</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ИНФОРМАЦИЯ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 основных показателях исполнения бюджета города</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за 2018 - 2021 годы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(млн рублей)</w:t>
      </w:r>
    </w:p>
    <w:p>
      <w:pPr>
        <w:spacing w:before="0" w:after="0" w:line="240" w:lineRule="auto"/>
        <w:jc w:val="left"/>
        <w:rPr>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144"/>
        <w:gridCol w:w="1247"/>
        <w:gridCol w:w="1247"/>
        <w:gridCol w:w="1247"/>
        <w:gridCol w:w="1247"/>
      </w:tblGrid>
      <w:tr>
        <w:trPr>
          <w:jc w:val="left"/>
        </w:trPr>
        <w:tc>
          <w:tcPr>
            <w:tcW w:w="414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основного показателя</w:t>
            </w:r>
          </w:p>
        </w:tc>
        <w:tc>
          <w:tcPr>
            <w:tcW w:w="4988"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Исполнение</w:t>
            </w:r>
          </w:p>
        </w:tc>
      </w:tr>
      <w:tr>
        <w:trPr>
          <w:jc w:val="left"/>
        </w:trPr>
        <w:tc>
          <w:tcPr>
            <w:tcW w:w="414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2018 год</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2019 год</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2020 год</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 год</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Доходы, всего,</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10237,5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12466,6</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14221,6</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16533,4</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 том числе:</w:t>
            </w: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налоговые и неналоговые доходы</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3823,5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4677,4</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4844,0</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5704,5</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безвозмездные поступления,</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6414,0</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7789,2</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9377,6</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10828,9</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из них дотации</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13,2</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29,7</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273,7</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32,2</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Расходы, всего,</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10525,5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12925,3</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14122,7</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16358,9</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 том числе:</w:t>
            </w: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 счет налоговых и неналоговых доходов и источников финансирования дефицита бюджета города</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4298,0</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5128,5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5073,0</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5452,6</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 счет безвозмездных поступлений</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6227,5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7796,8</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9049,7</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10906,3</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Дефицит (-) / профицит (+)</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-288,0</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-458,7</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98,9</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174,5</w:t>
            </w:r>
          </w:p>
        </w:tc>
      </w:tr>
      <w:tr>
        <w:trPr>
          <w:jc w:val="left"/>
        </w:trPr>
        <w:tc>
          <w:tcPr>
            <w:tcW w:w="414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 муниципального долга</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1671,9</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2125,3</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2123,5</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2098,5</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Сопоставление динамики изменений объемов доходов и расходов бюджета города за последние годы свидетельствует о положительной динамике темпов роста доходов в сравнении с темпом роста расходов.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 2018 года по 2021 год расходы бюджета города за счет налоговых и неналоговых доходов бюджета города и источников финансирования дефицита бюджета города увеличились на 26,9 процента, налоговые и неналоговые доходы бюджета города - на 49,2 процента. Темп прироста по доходам превысил темп прироста по расходам в 1,8 раза.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опережающую динамику роста расходов повлияло в числе прочих факторов увеличение расходов бюджета города на исполнение решений, принятых на федеральном уровне ("дорожные карты" по обеспечению уровня заработной платы отдельным категориям работников муниципальных учреждений в сфере образования, культуры, физической культуры и спорта, увеличение минимального размера оплаты труда (с 01 января 2018 года до 9489 рублей, с 01 мая 2018 года до 11163 рублей, с 01 января 2019 года до 11280 рублей, с 01 января 2020 года до 12130 рублей, с 01 января 2021 года до 12792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обеспечения сбалансированности бюджета города на постоянной основе проводятся мероприятия, направленные на обеспечение роста налоговых и неналоговых поступлений в бюджет города и повышение уровня их собираемости, оптимизацию расходов, повышение эффективности расходов, концентрацию бюджетных ассигнований в рамках существующих бюджетных ограничений на реализацию приоритетных направлений социально-экономического развития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постоянной основе проводится мониторинг расходных обязательств города Ставрополя в целях оценки возможности уменьшения объема бюджетных средств, направляемых на их исполнение.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Одним из направлений сокращения расходов бюджета города является минимизация затрат на обеспечение функционирования органов местного самоуправления города Ставрополя, в том числе посредством установления запрета на увеличение численности муниципальных служащих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hyperlink r:id="rId27">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29.07.2020 N 1211 "О Правилах определения нормативных затрат на обеспечение функций Ставропольской городской Думы, контрольно-счетной палаты города Ставрополя, администрации города Ставрополя, отраслевых (функциональных) и территориальных органов администрации города Ставрополя, в том числе подведомственных им муниципальных казенных учреждений" утверждены Правила определения нормативных затрат на обеспечение функций Ставропольской городской Думы, контрольно-счетной палаты города Ставрополя, администрации города Ставрополя, отраслевых (функциональных) и территориальных органов администрации города Ставрополя, в том числе подведомственных им муниципальных казенных учреждений (далее - нормативные затраты). Применение нормативных затрат позволяет обеспечивать муниципальные нужды в необходимом объеме, но при этом не допускать закупку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устанавливается запрет на использование экономии бюджетных ассигнований, сложившейся у главных распорядителей и получателей средств бюджета города по итогам определения конкурентными способами поставщиков (подрядчиков, исполнителей) для обеспечения муниципальных нужд, без внесения изменений в решение о бюджете города.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2020 году в связи с введением комплекса ограничительных мер по снижению рисков распространения новой коронавирусной инфекции COVID-19 был утвержден план сокращения бюджета города на 2020 год на 20 процентов. Был принят перечень приоритетных расходов бюджета города,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выплата заработной платы и социальных пособий;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оплата налогов и коммунальных платежей;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софинансирование участия в государственных программах.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среднесрочной перспективе необходимо обеспечить дальнейшее совершенствование бюджетного планирования, повышение качества и эффективности программно-целевого метода планирования на основе внедрения проектных принципов управления, снижение долговой нагрузки.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Комплексный подход к выполнению задач в рамках Программы создаст необходимые условия и предпосылки для достижения стратегических целей и задач социально-экономического развития города Ставрополя, позволит эффективнее решать задачи по улучшению качества жизни.</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2. Цель и задачи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Программы является обеспечение долгосрочной сбалансированности и устойчивости бюджета города, повышение качества управления муниципальными финансами.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указанной цели в рамках реализации Программы предусматривается решение следующих задач:</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долгосрочной сбалансированности и устойчивости бюджета города за счет координации стратегического и бюджетного планирования;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налоговых и неналоговых доходов бюджета города;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совершенствование бюджетной политики и повышение эффективности использования бюджетных средств;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проведение взвешенной долговой политики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совершенствование внутреннего муниципального финансового контроля и контроля в сфере закупок товаров, работ, услуг для обеспечения муниципальных нужд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прозрачности и открытости бюджета города и бюджетного процесса для граждан.</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3. Сроки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Срок реализации Программы - 2023 - 2028 годы.</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Программы приведены в приложении 1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28">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27.12.2023 N 2801)</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финансовых средств на реализацию Программы за счет средств бюджета города на весь период действия составляет 1889900,00 тыс. рублей, в том числе по годам: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- 43500,00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- 346400,00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- 375000,00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- 375000,00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- 375000,00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- 375000,00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 Финансирование Программы за счет средств федерального бюджета и бюджета Ставропольского края, а также за счет внебюджетных источников не предусмотрено.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Программы осуществляется комитетом финансов и бюджета, являющимся ответственным исполнителем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Общее руководство и контроль за ходом реализации Программы осуществляет заместитель главы администрации города Ставрополя, руководитель комитета финансов и бюджета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 ежегодно:</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разрабатывает детальный план-график реализации Программы на очередной финансовый год по </w:t>
      </w:r>
      <w:hyperlink r:id="rId29">
        <w:r>
          <w:rPr>
            <w:rFonts w:ascii="Arial" w:hAnsi="Arial" w:cs="Arial" w:eastAsia="Arial"/>
            <w:b w:val="0"/>
            <w:i w:val="0"/>
            <w:strike w:val="false"/>
            <w:color w:val="0000FF"/>
            <w:sz w:val="20"/>
          </w:rPr>
          <w:t xml:space="preserve">форме</w:t>
        </w:r>
      </w:hyperlink>
      <w:r>
        <w:rPr>
          <w:rFonts w:ascii="Arial" w:hAnsi="Arial" w:cs="Arial" w:eastAsia="Arial"/>
          <w:b w:val="0"/>
          <w:i w:val="0"/>
          <w:strike w:val="false"/>
          <w:sz w:val="20"/>
        </w:rPr>
        <w:t xml:space="preserve">, приведенной в приложении 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N 2382,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утверждает детальный план-график реализации Программы на очередной финансовый год, согласованный с комитетом экономического развития и торговли администрации города Ставрополя, не позднее 31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до 15 февраля года, следующего за отчетным годом.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Мониторинг и контроль реализации Программы осуществляются в порядке, установленном муниципальным нормативным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составе и значениях показателей (индикаторов) достижения цели и решения задач Программы приведены в приложении 2 к Программе.</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весовых коэффициентах, присвоенных цели и задачам Программы, приведены в приложении 3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В.В.ЗРИТНЕВ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1</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"Управление муниципальными</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финансами и муниципальным</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долгом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 w:name="Par297"/>
      <w:bookmarkEnd w:id="2"/>
      <w:r>
        <w:rPr>
          <w:rFonts w:ascii="Arial" w:hAnsi="Arial" w:cs="Arial" w:eastAsia="Arial"/>
          <w:b/>
          <w:i w:val="0"/>
          <w:strike w:val="false"/>
          <w:sz w:val="20"/>
        </w:rPr>
        <w:t xml:space="preserve">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ОБЩАЯ ХАРАКТЕРИСТИКА МЕРОПРИЯТИЙ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"УПРАВЛЕНИЕ МУНИЦИПАЛЬНЫМИ ФИНАНСАМИ И МУНИЦИПАЛЬНЫМ ДОЛГОМ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30">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27.12.2023 N 2801)</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2438"/>
        <w:gridCol w:w="1587"/>
        <w:gridCol w:w="2494"/>
        <w:gridCol w:w="907"/>
        <w:gridCol w:w="1191"/>
        <w:gridCol w:w="1191"/>
        <w:gridCol w:w="1191"/>
        <w:gridCol w:w="1191"/>
        <w:gridCol w:w="1247"/>
        <w:gridCol w:w="1191"/>
        <w:gridCol w:w="1814"/>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п/п</w:t>
            </w:r>
          </w:p>
        </w:tc>
        <w:tc>
          <w:tcPr>
            <w:tcW w:w="243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основного мероприятия (мероприятия)</w:t>
            </w:r>
          </w:p>
        </w:tc>
        <w:tc>
          <w:tcPr>
            <w:tcW w:w="158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w:t>
            </w:r>
          </w:p>
        </w:tc>
        <w:tc>
          <w:tcPr>
            <w:tcW w:w="24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Обоснование выделения основного мероприятия (мероприятия)</w:t>
            </w:r>
          </w:p>
        </w:tc>
        <w:tc>
          <w:tcPr>
            <w:tcW w:w="90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Срок исполнения (годы)</w:t>
            </w:r>
          </w:p>
        </w:tc>
        <w:tc>
          <w:tcPr>
            <w:tcW w:w="7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Объем финансирования (за счет средств бюджета города Ставрополя) (тыс. рублей)</w:t>
            </w:r>
          </w:p>
        </w:tc>
        <w:tc>
          <w:tcPr>
            <w:tcW w:w="181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Взаимосвязь с показателями (индикаторами) Программы</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4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4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20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годам:</w:t>
            </w: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43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4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43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4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81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r>
        <w:trPr>
          <w:jc w:val="left"/>
        </w:trPr>
        <w:tc>
          <w:tcPr>
            <w:tcW w:w="15200"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долгосрочной сбалансированности и устойчивости бюджета города Ставрополя, повышение качества управления муниципальными финансами</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4</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долгосрочной сбалансированности и устойчивости бюджета города Ставрополя за счет координации стратегического и бюджетного планирования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 Координация стратегического и бюджетного планирования, создание инструментов долгосрочного бюджетного планирования</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 администрации города Ставрополя (далее - 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бюджета города Ставрополя (далее - бюджет города) с учетом долгосрочного прогноза основных параметров бюджетной системы, основанных на реалистичных оценках, возможность оценки экономических последствий принимаемых решений, ограничение роста расходов бюджета города, не обеспеченных надежными источниками доходов в долгосрочном периоде, повышение точности бюджетного планирования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5</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2. Увеличение налоговых и неналоговых доходов бюджета города</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 Мониторинг поступления налоговых и неналоговых доходов бюджета города</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плановых показателей доходов бюджета города, достижение устойчивой положительной динамики поступления доходов в бюджет города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6</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7</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8</w:t>
              </w:r>
            </w:hyperlink>
            <w:r>
              <w:rPr>
                <w:rFonts w:ascii="Arial" w:hAnsi="Arial" w:cs="Arial" w:eastAsia="Arial"/>
                <w:b w:val="0"/>
                <w:i w:val="0"/>
                <w:strike w:val="false"/>
                <w:sz w:val="20"/>
              </w:rPr>
              <w:t xml:space="preserve"> приложения 2 к Программе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3. Реализация комплексного плана мероприятий, направленных на увеличение роста доходов бюджета города</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мобилизация доходов в бюджет города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9</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3. Совершенствование бюджетной политики и повышение эффективности использования бюджетных средств</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4. Применение программно-целевых методов формирования бюджета города на очередной финансовый год и плановый период</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результативности бюджетных расходов</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10</w:t>
              </w:r>
            </w:hyperlink>
            <w:r>
              <w:rPr>
                <w:rFonts w:ascii="Arial" w:hAnsi="Arial" w:cs="Arial" w:eastAsia="Arial"/>
                <w:b w:val="0"/>
                <w:i w:val="0"/>
                <w:strike w:val="false"/>
                <w:sz w:val="20"/>
              </w:rPr>
              <w:t xml:space="preserve"> приложения 2 к Программе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5. Повышение качества исполнения бюджета города по расходам</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исполнение бюджетных обязательств в полном объеме</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10</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12</w:t>
              </w:r>
            </w:hyperlink>
            <w:r>
              <w:rPr>
                <w:rFonts w:ascii="Arial" w:hAnsi="Arial" w:cs="Arial" w:eastAsia="Arial"/>
                <w:b w:val="0"/>
                <w:i w:val="0"/>
                <w:strike w:val="false"/>
                <w:sz w:val="20"/>
              </w:rPr>
              <w:t xml:space="preserve"> приложения 2 к Программе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6. Мониторинг кредиторской и дебиторской задолженности получателей средств бюджета города</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недопущение образования просроченной кредиторской и дебиторской задолженности получателей средств бюджета города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10</w:t>
              </w:r>
            </w:hyperlink>
            <w:r>
              <w:rPr>
                <w:rFonts w:ascii="Arial" w:hAnsi="Arial" w:cs="Arial" w:eastAsia="Arial"/>
                <w:b w:val="0"/>
                <w:i w:val="0"/>
                <w:strike w:val="false"/>
                <w:sz w:val="20"/>
              </w:rPr>
              <w:t xml:space="preserve"> приложения 2 к Программе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7. Оценка налоговых расходов города Ставрополя</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формирование основных направлений бюджетной и налоговой политики города Ставрополя, проведение оценки эффективности реализации муниципальных программ города Ставрополя с учетом оценки эффективности (целесообразности и результативности) налоговых расходов города Ставрополя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13</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4. Проведение взвешенной долговой политики города Ставрополя</w:t>
            </w:r>
          </w:p>
        </w:tc>
      </w:tr>
      <w:tr>
        <w:trPr>
          <w:jc w:val="left"/>
        </w:trPr>
        <w:tc>
          <w:tcPr>
            <w:tcW w:w="572"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2438"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8. Своевременное исполнение обязательств по обслуживанию и погашению муниципального долга города Ставрополя</w:t>
            </w:r>
          </w:p>
        </w:tc>
        <w:tc>
          <w:tcPr>
            <w:tcW w:w="1587"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поддержание оптимального объема и структуры заимствований, минимизация расходов на обслуживание муниципального долга города Ставрополя</w:t>
            </w:r>
          </w:p>
        </w:tc>
        <w:tc>
          <w:tcPr>
            <w:tcW w:w="907"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43500,00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346400,00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247"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81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14</w:t>
              </w:r>
            </w:hyperlink>
            <w:r>
              <w:rPr>
                <w:rFonts w:ascii="Arial" w:hAnsi="Arial" w:cs="Arial" w:eastAsia="Arial"/>
                <w:b w:val="0"/>
                <w:i w:val="0"/>
                <w:strike w:val="false"/>
                <w:sz w:val="20"/>
              </w:rPr>
              <w:t xml:space="preserve"> - </w:t>
            </w:r>
            <w:hyperlink>
              <w:r>
                <w:rPr>
                  <w:rFonts w:ascii="Arial" w:hAnsi="Arial" w:cs="Arial" w:eastAsia="Arial"/>
                  <w:b w:val="0"/>
                  <w:i w:val="0"/>
                  <w:strike w:val="false"/>
                  <w:color w:val="0000FF"/>
                  <w:sz w:val="20"/>
                </w:rPr>
                <w:t xml:space="preserve">16</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left w:val="single" w:sz="4"/>
              <w:bottom w:val="single" w:sz="4"/>
              <w:right w:val="single" w:sz="4"/>
            </w:tcBorders>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1">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5. Совершенствование внутреннего муниципального финансового контроля и контроля в сфере закупок товаров, работ, услуг для обеспечения муниципальных нужд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9. Организация и осуществление контроля в сфере закупок, товаров, работ услуг для обеспечения муниципальных нужд города Ставрополя</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повышение эффективности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17</w:t>
              </w:r>
            </w:hyperlink>
            <w:r>
              <w:rPr>
                <w:rFonts w:ascii="Arial" w:hAnsi="Arial" w:cs="Arial" w:eastAsia="Arial"/>
                <w:b w:val="0"/>
                <w:i w:val="0"/>
                <w:strike w:val="false"/>
                <w:sz w:val="20"/>
              </w:rPr>
              <w:t xml:space="preserve"> приложения 2 к Программе</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10. Организация и осуществление внутреннего муниципального финансового контроля</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 законности и эффективности использования бюджетных средств, оптимизация расходов бюджета города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24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17</w:t>
              </w:r>
            </w:hyperlink>
            <w:r>
              <w:rPr>
                <w:rFonts w:ascii="Arial" w:hAnsi="Arial" w:cs="Arial" w:eastAsia="Arial"/>
                <w:b w:val="0"/>
                <w:i w:val="0"/>
                <w:strike w:val="false"/>
                <w:sz w:val="20"/>
              </w:rPr>
              <w:t xml:space="preserve"> приложения 2 к Программе</w:t>
            </w:r>
          </w:p>
        </w:tc>
      </w:tr>
      <w:tr>
        <w:trPr>
          <w:jc w:val="left"/>
        </w:trPr>
        <w:tc>
          <w:tcPr>
            <w:tcW w:w="17014"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6. Обеспечение прозрачности и открытости бюджета города и бюджетного процесса для граждан</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243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11. Подготовка и размещение аналитических материалов "Бюджет для граждан" в доступной для широкого круга пользователей форме</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 финансов и бюджета</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доступность для граждан информации о бюджете города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4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1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18</w:t>
              </w:r>
            </w:hyperlink>
            <w:r>
              <w:rPr>
                <w:rFonts w:ascii="Arial" w:hAnsi="Arial" w:cs="Arial" w:eastAsia="Arial"/>
                <w:b w:val="0"/>
                <w:i w:val="0"/>
                <w:strike w:val="false"/>
                <w:sz w:val="20"/>
              </w:rPr>
              <w:t xml:space="preserve"> приложения 2 к Программе</w:t>
            </w:r>
          </w:p>
        </w:tc>
      </w:tr>
      <w:tr>
        <w:trPr>
          <w:jc w:val="left"/>
        </w:trPr>
        <w:tc>
          <w:tcPr>
            <w:tcW w:w="7998" w:type="dxa"/>
            <w:gridSpan w:val="5"/>
            <w:hMerge w:val="restart"/>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43500,00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346400,00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247"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19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375000,00</w:t>
            </w:r>
          </w:p>
        </w:tc>
        <w:tc>
          <w:tcPr>
            <w:tcW w:w="1814"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17014" w:type="dxa"/>
            <w:gridSpan w:val="12"/>
            <w:hMerge w:val="restart"/>
            <w:tcBorders>
              <w:left w:val="single" w:sz="4"/>
              <w:bottom w:val="single" w:sz="4"/>
              <w:right w:val="single" w:sz="4"/>
            </w:tcBorders>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"Управление муниципальными</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финансами и муниципальным</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долгом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3" w:name="Par492"/>
      <w:bookmarkEnd w:id="3"/>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СОСТАВЕ И ЗНАЧЕНИЯХ ПОКАЗАТЕЛЕЙ (ИНДИКАТОРОВ) ДОСТИЖЕНИЯ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ЦЕЛИ И РЕШЕНИЯ ЗАДАЧ МУНИЦИПАЛЬНОЙ ПРОГРАММЫ "УПРАВЛЕНИЕ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МУНИЦИПАЛЬНЫМИ ФИНАНСАМИ И МУНИЦИПАЛЬНЫМ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ДОЛГОМ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13672"/>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13672"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33">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27.12.2023 N 2801)</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3061"/>
        <w:gridCol w:w="1361"/>
        <w:gridCol w:w="1304"/>
        <w:gridCol w:w="1304"/>
        <w:gridCol w:w="1304"/>
        <w:gridCol w:w="1304"/>
        <w:gridCol w:w="1304"/>
        <w:gridCol w:w="1304"/>
        <w:gridCol w:w="1304"/>
        <w:gridCol w:w="1304"/>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п/п</w:t>
            </w:r>
          </w:p>
        </w:tc>
        <w:tc>
          <w:tcPr>
            <w:tcW w:w="306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показателя (индикатора) достижения цели и показателя решения задач программы</w:t>
            </w:r>
          </w:p>
        </w:tc>
        <w:tc>
          <w:tcPr>
            <w:tcW w:w="136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 измерения</w:t>
            </w:r>
          </w:p>
        </w:tc>
        <w:tc>
          <w:tcPr>
            <w:tcW w:w="10432"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Значение показателя достижения цели и показателя решения задач программы по годам</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06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6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0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долгосрочной сбалансированности и устойчивости бюджета города Ставрополя, повышение качества управления муниципальными финансами</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4" w:name="Par525"/>
            <w:bookmarkEnd w:id="4"/>
            <w:r>
              <w:rPr>
                <w:rFonts w:ascii="Arial" w:hAnsi="Arial" w:cs="Arial" w:eastAsia="Arial"/>
                <w:b w:val="0"/>
                <w:i w:val="0"/>
                <w:strike w:val="false"/>
                <w:sz w:val="20"/>
              </w:rPr>
              <w:t xml:space="preserve">1.</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Темп роста налоговых и неналоговых доходов бюджета города Ставрополя (далее - бюджет города) к предыдущему году</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117,8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100,5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101,0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101,5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102,0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103,0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Коэффициент покрытия расходов бюджета города собственными средствами без привлечения заемных средств</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коэффициент</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1,0461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0,9098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0,9102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0,9105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0,9130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0,9155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ниже 0,9180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Оценка долговой устойчивости города Ставрополя</w:t>
            </w: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группа заемщиков с высоким уровнем долговой устойчивости "А"</w:t>
            </w:r>
          </w:p>
        </w:tc>
      </w:tr>
      <w:tr>
        <w:trPr>
          <w:jc w:val="left"/>
        </w:trPr>
        <w:tc>
          <w:tcPr>
            <w:tcW w:w="572"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5" w:name="Par558"/>
            <w:bookmarkEnd w:id="5"/>
            <w:r>
              <w:rPr>
                <w:rFonts w:ascii="Arial" w:hAnsi="Arial" w:cs="Arial" w:eastAsia="Arial"/>
                <w:b w:val="0"/>
                <w:i w:val="0"/>
                <w:strike w:val="false"/>
                <w:sz w:val="20"/>
              </w:rPr>
              <w:t xml:space="preserve">4.</w:t>
            </w:r>
          </w:p>
        </w:tc>
        <w:tc>
          <w:tcPr>
            <w:tcW w:w="306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просроченной кредиторской задолженности в общем объеме расходов бюджета города</w:t>
            </w:r>
          </w:p>
        </w:tc>
        <w:tc>
          <w:tcPr>
            <w:tcW w:w="136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r>
      <w:tr>
        <w:trPr>
          <w:jc w:val="left"/>
        </w:trPr>
        <w:tc>
          <w:tcPr>
            <w:tcW w:w="15426" w:type="dxa"/>
            <w:gridSpan w:val="11"/>
            <w:hMerge w:val="restart"/>
            <w:tcBorders>
              <w:left w:val="single" w:sz="4"/>
              <w:bottom w:val="single" w:sz="4"/>
              <w:right w:val="single" w:sz="4"/>
            </w:tcBorders>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4">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долгосрочной сбалансированности и устойчивости бюджета города за счет координации стратегического и бюджетного планирования</w:t>
            </w:r>
          </w:p>
        </w:tc>
      </w:tr>
      <w:tr>
        <w:trPr>
          <w:jc w:val="left"/>
        </w:trPr>
        <w:tc>
          <w:tcPr>
            <w:tcW w:w="572"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6" w:name="Par571"/>
            <w:bookmarkEnd w:id="6"/>
            <w:r>
              <w:rPr>
                <w:rFonts w:ascii="Arial" w:hAnsi="Arial" w:cs="Arial" w:eastAsia="Arial"/>
                <w:b w:val="0"/>
                <w:i w:val="0"/>
                <w:strike w:val="false"/>
                <w:sz w:val="20"/>
              </w:rPr>
              <w:t xml:space="preserve">5.</w:t>
            </w:r>
          </w:p>
        </w:tc>
        <w:tc>
          <w:tcPr>
            <w:tcW w:w="306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Отклонение показателей утвержденного бюджета города на очередной финансовый год от показателей бюджетного прогноза (в части расходов за счет средств бюджета города)</w:t>
            </w:r>
          </w:p>
        </w:tc>
        <w:tc>
          <w:tcPr>
            <w:tcW w:w="136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18,9</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18,5</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21,0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17,5</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17,3</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17,0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16,7</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16,5</w:t>
            </w:r>
          </w:p>
        </w:tc>
      </w:tr>
      <w:tr>
        <w:trPr>
          <w:jc w:val="left"/>
        </w:trPr>
        <w:tc>
          <w:tcPr>
            <w:tcW w:w="15426" w:type="dxa"/>
            <w:gridSpan w:val="11"/>
            <w:hMerge w:val="restart"/>
            <w:tcBorders>
              <w:left w:val="single" w:sz="4"/>
              <w:bottom w:val="single" w:sz="4"/>
              <w:right w:val="single" w:sz="4"/>
            </w:tcBorders>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2. Увеличение налоговых и неналоговых доходов бюджета города</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7" w:name="Par584"/>
            <w:bookmarkEnd w:id="7"/>
            <w:r>
              <w:rPr>
                <w:rFonts w:ascii="Arial" w:hAnsi="Arial" w:cs="Arial" w:eastAsia="Arial"/>
                <w:b w:val="0"/>
                <w:i w:val="0"/>
                <w:strike w:val="false"/>
                <w:sz w:val="20"/>
              </w:rPr>
              <w:t xml:space="preserve">6.</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Выполнение плана по налоговым и неналоговым доходам бюджета города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101,6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8" w:name="Par595"/>
            <w:bookmarkEnd w:id="8"/>
            <w:r>
              <w:rPr>
                <w:rFonts w:ascii="Arial" w:hAnsi="Arial" w:cs="Arial" w:eastAsia="Arial"/>
                <w:b w:val="0"/>
                <w:i w:val="0"/>
                <w:strike w:val="false"/>
                <w:sz w:val="20"/>
              </w:rPr>
              <w:t xml:space="preserve">7.</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города (без учета субвенций)</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58,1</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55 до 70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9" w:name="Par606"/>
            <w:bookmarkEnd w:id="9"/>
            <w:r>
              <w:rPr>
                <w:rFonts w:ascii="Arial" w:hAnsi="Arial" w:cs="Arial" w:eastAsia="Arial"/>
                <w:b w:val="0"/>
                <w:i w:val="0"/>
                <w:strike w:val="false"/>
                <w:sz w:val="20"/>
              </w:rPr>
              <w:t xml:space="preserve">8.</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 доходов бюджета города (без учета безвозмездных поступлений) на душу населения</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тыс. рублей</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12,6</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12,7</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12,9</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0" w:name="Par617"/>
            <w:bookmarkEnd w:id="10"/>
            <w:r>
              <w:rPr>
                <w:rFonts w:ascii="Arial" w:hAnsi="Arial" w:cs="Arial" w:eastAsia="Arial"/>
                <w:b w:val="0"/>
                <w:i w:val="0"/>
                <w:strike w:val="false"/>
                <w:sz w:val="20"/>
              </w:rPr>
              <w:t xml:space="preserve">9.</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Отношение недоимки по налогам, зачисляемым в бюджет города, к сумме налоговых доходов бюджета города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10,3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12,0</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3. Совершенствование бюджетной политики и повышение эффективности использования бюджетных средств</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1" w:name="Par629"/>
            <w:bookmarkEnd w:id="11"/>
            <w:r>
              <w:rPr>
                <w:rFonts w:ascii="Arial" w:hAnsi="Arial" w:cs="Arial" w:eastAsia="Arial"/>
                <w:b w:val="0"/>
                <w:i w:val="0"/>
                <w:strike w:val="false"/>
                <w:sz w:val="20"/>
              </w:rPr>
              <w:t xml:space="preserve">10.</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Отношение объема просроченной кредиторской задолженности, сложившейся по расходам бюджета города, к общему объему расходов бюджета города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Уровень достижения целевых значений показателей, предусмотренных в дорожной карте Ставропольского края, по соотношению средней заработной платы работников учреждений культуры и педагогических работников муниципальных учреждений дополнительного образования детей и средней заработной платы в Ставропольском крае</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r>
        <w:trPr>
          <w:jc w:val="left"/>
        </w:trPr>
        <w:tc>
          <w:tcPr>
            <w:tcW w:w="572"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2" w:name="Par651"/>
            <w:bookmarkEnd w:id="12"/>
            <w:r>
              <w:rPr>
                <w:rFonts w:ascii="Arial" w:hAnsi="Arial" w:cs="Arial" w:eastAsia="Arial"/>
                <w:b w:val="0"/>
                <w:i w:val="0"/>
                <w:strike w:val="false"/>
                <w:sz w:val="20"/>
              </w:rPr>
              <w:t xml:space="preserve">12.</w:t>
            </w:r>
          </w:p>
        </w:tc>
        <w:tc>
          <w:tcPr>
            <w:tcW w:w="3061" w:type="dxa"/>
            <w:tcBorders>
              <w:top w:val="single" w:sz="4"/>
              <w:left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w:t>
            </w:r>
          </w:p>
        </w:tc>
        <w:tc>
          <w:tcPr>
            <w:tcW w:w="1361"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рублей</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1 206,3</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1 283</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1580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1580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1590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1620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1650</w:t>
            </w:r>
          </w:p>
        </w:tc>
        <w:tc>
          <w:tcPr>
            <w:tcW w:w="1304" w:type="dxa"/>
            <w:tcBorders>
              <w:top w:val="single" w:sz="4"/>
              <w:left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1650</w:t>
            </w:r>
          </w:p>
        </w:tc>
      </w:tr>
      <w:tr>
        <w:trPr>
          <w:jc w:val="left"/>
        </w:trPr>
        <w:tc>
          <w:tcPr>
            <w:tcW w:w="15426" w:type="dxa"/>
            <w:gridSpan w:val="11"/>
            <w:hMerge w:val="restart"/>
            <w:tcBorders>
              <w:left w:val="single" w:sz="4"/>
              <w:bottom w:val="single" w:sz="4"/>
              <w:right w:val="single" w:sz="4"/>
            </w:tcBorders>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2801)</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3" w:name="Par663"/>
            <w:bookmarkEnd w:id="13"/>
            <w:r>
              <w:rPr>
                <w:rFonts w:ascii="Arial" w:hAnsi="Arial" w:cs="Arial" w:eastAsia="Arial"/>
                <w:b w:val="0"/>
                <w:i w:val="0"/>
                <w:strike w:val="false"/>
                <w:sz w:val="20"/>
              </w:rPr>
              <w:t xml:space="preserve">13.</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Уровень собираемости по земельному налогу (отношение объема поступившего земельного налога к объему начисленного земельного налога)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90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90</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4. Проведение взвешенной долговой политики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4" w:name="Par675"/>
            <w:bookmarkEnd w:id="14"/>
            <w:r>
              <w:rPr>
                <w:rFonts w:ascii="Arial" w:hAnsi="Arial" w:cs="Arial" w:eastAsia="Arial"/>
                <w:b w:val="0"/>
                <w:i w:val="0"/>
                <w:strike w:val="false"/>
                <w:sz w:val="20"/>
              </w:rPr>
              <w:t xml:space="preserve">14.</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 муниципального долга города Ставрополя (далее - муниципальный долг) в общем объеме доходов бюджета города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36,8</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расходов на обслуживание муниципального долга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5" w:name="Par697"/>
            <w:bookmarkEnd w:id="15"/>
            <w:r>
              <w:rPr>
                <w:rFonts w:ascii="Arial" w:hAnsi="Arial" w:cs="Arial" w:eastAsia="Arial"/>
                <w:b w:val="0"/>
                <w:i w:val="0"/>
                <w:strike w:val="false"/>
                <w:sz w:val="20"/>
              </w:rPr>
              <w:t xml:space="preserve">16.</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Годовая сумма платежей по погашению и обслуживанию муниципального долга,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в общем объеме налоговых и неналоговых доходов бюджета города и дотаций из бюджетов бюджетной системы Российской Федерации</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более 13</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5. Совершенствование внутреннего муниципального финансового контроля и контроля в сфере закупок товаров, работ, услуг для обеспечения муниципальных нужд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6" w:name="Par709"/>
            <w:bookmarkEnd w:id="16"/>
            <w:r>
              <w:rPr>
                <w:rFonts w:ascii="Arial" w:hAnsi="Arial" w:cs="Arial" w:eastAsia="Arial"/>
                <w:b w:val="0"/>
                <w:i w:val="0"/>
                <w:strike w:val="false"/>
                <w:sz w:val="20"/>
              </w:rPr>
              <w:t xml:space="preserve">17.</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Соотношение объема проверенных средств бюджета города и общего объема расходов бюджета города на соответствующий финансовый год (без учета расходов по обслуживанию муниципального долга)</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процентов</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не менее 5</w:t>
            </w:r>
          </w:p>
        </w:tc>
      </w:tr>
      <w:tr>
        <w:trPr>
          <w:jc w:val="left"/>
        </w:trPr>
        <w:tc>
          <w:tcPr>
            <w:tcW w:w="15426"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6. Обеспечение прозрачности и открытости бюджета города и бюджетного процесса для граждан</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17" w:name="Par721"/>
            <w:bookmarkEnd w:id="17"/>
            <w:r>
              <w:rPr>
                <w:rFonts w:ascii="Arial" w:hAnsi="Arial" w:cs="Arial" w:eastAsia="Arial"/>
                <w:b w:val="0"/>
                <w:i w:val="0"/>
                <w:strike w:val="false"/>
                <w:sz w:val="20"/>
              </w:rPr>
              <w:t xml:space="preserve">18.</w:t>
            </w:r>
          </w:p>
        </w:tc>
        <w:tc>
          <w:tcPr>
            <w:tcW w:w="30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Размещение информации о бюджете города в социальных сетях</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количество размещений в год</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13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3</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"Управление муниципальными</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финансами и муниципальным</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долгом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8" w:name="Par743"/>
      <w:bookmarkEnd w:id="18"/>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ВЕСОВЫХ КОЭФФИЦИЕНТАХ, ПРИСВОЕННЫХ ЦЕЛИ И ЗАДАЧАМ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"УПРАВЛЕНИЕ МУНИЦИПАЛЬНЫМИ ФИНАНСАМИ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МУНИЦИПАЛЬНЫМ ДОЛГОМ ГОРОДА СТАВРОПОЛЯ"</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4139"/>
        <w:gridCol w:w="737"/>
        <w:gridCol w:w="737"/>
        <w:gridCol w:w="737"/>
        <w:gridCol w:w="737"/>
        <w:gridCol w:w="737"/>
        <w:gridCol w:w="737"/>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п/п</w:t>
            </w:r>
          </w:p>
        </w:tc>
        <w:tc>
          <w:tcPr>
            <w:tcW w:w="413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 задачи Программы</w:t>
            </w:r>
          </w:p>
        </w:tc>
        <w:tc>
          <w:tcPr>
            <w:tcW w:w="4422"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Значения весовых коэффициентов, присвоенных цели Программы и задачам Программы по годам</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413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долгосрочной сбалансированности и устойчивости бюджета города Ставрополя (далее - бюджет города), повышение качества управления муниципальными финансами</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долгосрочной сбалансированности и устойчивости бюджета города за счет координации стратегического и бюджетного планирования</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2. Увеличение налоговых и неналоговых доходов бюджета города</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3. Совершенствование бюджетной политики и повышение эффективности использования бюджетных средств</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4. Проведение взвешенной долговой политики города Ставрополя</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5. Совершенствование внутреннего муниципального финансового контроля и контроля в сфере закупок товаров, работ, услуг для обеспечения муниципальных нужд города Ставрополя</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0,15</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413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6. Обеспечение прозрачности и открытости бюджета города и бюджетного процесса для граждан</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0,05</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pBdr>
          <w:top w:val="single"/>
        </w:pBdr>
        <w:spacing w:before="100" w:after="100" w:line="240" w:lineRule="auto"/>
        <w:ind w:left="0" w:firstLine="0"/>
        <w:jc w:val="both"/>
        <w:rPr>
          <w:rFonts w:ascii="Arial" w:hAnsi="Arial" w:cs="Arial" w:eastAsia="Arial"/>
          <w:b w:val="0"/>
          <w:i w:val="0"/>
          <w:strike w:val="false"/>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bl/>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bl/>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bl/>
  <w:p>
    <w:pPr>
      <w:spacing w:before="0" w:after="0" w:line="240" w:lineRule="auto"/>
      <w:jc w:val="right"/>
      <w:rPr>
        <w:rFonts w:ascii="Tahoma" w:hAnsi="Tahoma" w:cs="Tahoma" w:eastAsia="Tahoma"/>
        <w:b w:val="0"/>
        <w:i w:val="0"/>
        <w:sz w:val="20"/>
      </w:rPr>
    </w:pPr>
  </w:p>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03.11.2022 N 2360</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03.11.2022 N 2360</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bl/>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bl/>
  <w:p>
    <w:pPr>
      <w:spacing w:before="0" w:after="0" w:line="240" w:lineRule="auto"/>
      <w:jc w:val="right"/>
      <w:rPr>
        <w:rFonts w:ascii="Tahoma" w:hAnsi="Tahoma" w:cs="Tahoma" w:eastAsia="Tahoma"/>
        <w:b w:val="0"/>
        <w:i w:val="0"/>
        <w:sz w:val="16"/>
      </w:rPr>
    </w:pPr>
  </w:p>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03.11.2022 N 2360</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cs="Arial" w:eastAsia="Arial"/>
      <w:b w:val="0"/>
      <w:i w:val="0"/>
      <w:strike w:val="false"/>
      <w:sz w:val="20"/>
    </w:rPr>
  </w:style>
  <w:style w:type="paragraph" w:styleId="Style_1">
    <w:name w:val="       ConsPlusNonformat"/>
    <w:pPr>
      <w:spacing w:before="0" w:after="0" w:line="240" w:lineRule="auto"/>
      <w:jc w:val="left"/>
    </w:pPr>
    <w:rPr>
      <w:rFonts w:ascii="Courier New" w:hAnsi="Courier New" w:cs="Courier New" w:eastAsia="Courier New"/>
      <w:b w:val="0"/>
      <w:i w:val="0"/>
      <w:strike w:val="false"/>
      <w:sz w:val="20"/>
    </w:rPr>
  </w:style>
  <w:style w:type="paragraph" w:styleId="Style_2">
    <w:name w:val="       ConsPlusTitle"/>
    <w:pPr>
      <w:spacing w:before="0" w:after="0" w:line="240" w:lineRule="auto"/>
      <w:jc w:val="left"/>
    </w:pPr>
    <w:rPr>
      <w:rFonts w:ascii="Arial" w:hAnsi="Arial" w:cs="Arial" w:eastAsia="Arial"/>
      <w:b/>
      <w:i w:val="0"/>
      <w:strike w:val="false"/>
      <w:sz w:val="20"/>
    </w:rPr>
  </w:style>
  <w:style w:type="paragraph" w:styleId="Style_3">
    <w:name w:val="       ConsPlusCell"/>
    <w:pPr>
      <w:spacing w:before="0" w:after="0" w:line="240" w:lineRule="auto"/>
      <w:jc w:val="left"/>
    </w:pPr>
    <w:rPr>
      <w:rFonts w:ascii="Courier New" w:hAnsi="Courier New" w:cs="Courier New" w:eastAsia="Courier New"/>
      <w:b w:val="0"/>
      <w:i w:val="0"/>
      <w:strike w:val="false"/>
      <w:sz w:val="20"/>
    </w:rPr>
  </w:style>
  <w:style w:type="paragraph" w:styleId="Style_4">
    <w:name w:val="       ConsPlusDocList"/>
    <w:pPr>
      <w:spacing w:before="0" w:after="0" w:line="240" w:lineRule="auto"/>
      <w:jc w:val="left"/>
    </w:pPr>
    <w:rPr>
      <w:rFonts w:ascii="Tahoma" w:hAnsi="Tahoma" w:cs="Tahoma" w:eastAsia="Tahoma"/>
      <w:b w:val="0"/>
      <w:i w:val="0"/>
      <w:strike w:val="false"/>
      <w:sz w:val="18"/>
    </w:rPr>
  </w:style>
  <w:style w:type="paragraph" w:styleId="Style_5">
    <w:name w:val="       ConsPlusTitlePage"/>
    <w:pPr>
      <w:spacing w:before="0" w:after="0" w:line="240" w:lineRule="auto"/>
      <w:jc w:val="left"/>
    </w:pPr>
    <w:rPr>
      <w:rFonts w:ascii="Tahoma" w:hAnsi="Tahoma" w:cs="Tahoma" w:eastAsia="Tahoma"/>
      <w:b w:val="0"/>
      <w:i w:val="0"/>
      <w:strike w:val="false"/>
      <w:sz w:val="20"/>
    </w:rPr>
  </w:style>
  <w:style w:type="paragraph" w:styleId="Style_6">
    <w:name w:val="       ConsPlusJurTerm"/>
    <w:pPr>
      <w:spacing w:before="0" w:after="0" w:line="240" w:lineRule="auto"/>
      <w:jc w:val="left"/>
    </w:pPr>
    <w:rPr>
      <w:rFonts w:ascii="Tahoma" w:hAnsi="Tahoma" w:cs="Tahoma" w:eastAsia="Tahoma"/>
      <w:b w:val="0"/>
      <w:i w:val="0"/>
      <w:strike w:val="false"/>
      <w:sz w:val="26"/>
    </w:rPr>
  </w:style>
  <w:style w:type="paragraph" w:styleId="Style_7">
    <w:name w:val="       ConsPlusTextList"/>
    <w:pPr>
      <w:spacing w:before="0" w:after="0" w:line="240" w:lineRule="auto"/>
      <w:jc w:val="left"/>
    </w:pPr>
    <w:rPr>
      <w:rFonts w:ascii="Arial" w:hAnsi="Arial" w:cs="Arial" w:eastAsia="Arial"/>
      <w:b w:val="0"/>
      <w:i w:val="0"/>
      <w:strike w:val="false"/>
      <w:sz w:val="20"/>
    </w:rPr>
  </w:style>
  <w:style w:type="paragraph" w:styleId="Style_8">
    <w:name w:val="       ConsPlusTextList"/>
    <w:pPr>
      <w:spacing w:before="0" w:after="0" w:line="240" w:lineRule="auto"/>
      <w:jc w:val="left"/>
    </w:pPr>
    <w:rPr>
      <w:rFonts w:ascii="Arial" w:hAnsi="Arial" w:cs="Arial" w:eastAsia="Arial"/>
      <w:b w:val="0"/>
      <w:i w:val="0"/>
      <w:strike w:val="false"/>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077&amp;n=217514&amp;date=02.02.2024&amp;dst=100005&amp;field=134" TargetMode="External"/><Relationship Id="rId18" Type="http://schemas.openxmlformats.org/officeDocument/2006/relationships/hyperlink" Target="https://login.consultant.ru/link/?req=doc&amp;base=LAW&amp;n=465808&amp;date=02.02.2024&amp;dst=103281&amp;field=134" TargetMode="External"/><Relationship Id="rId19" Type="http://schemas.openxmlformats.org/officeDocument/2006/relationships/hyperlink" Target="https://login.consultant.ru/link/?req=doc&amp;base=LAW&amp;n=465799&amp;date=02.02.2024" TargetMode="External"/><Relationship Id="rId20" Type="http://schemas.openxmlformats.org/officeDocument/2006/relationships/hyperlink" Target="https://login.consultant.ru/link/?req=doc&amp;base=LAW&amp;n=439977&amp;date=02.02.2024" TargetMode="External"/><Relationship Id="rId21" Type="http://schemas.openxmlformats.org/officeDocument/2006/relationships/hyperlink" Target="https://login.consultant.ru/link/?req=doc&amp;base=RLAW077&amp;n=192081&amp;date=02.02.2024&amp;dst=100048&amp;field=134" TargetMode="External"/><Relationship Id="rId22" Type="http://schemas.openxmlformats.org/officeDocument/2006/relationships/hyperlink" Target="https://login.consultant.ru/link/?req=doc&amp;base=RLAW077&amp;n=217514&amp;date=02.02.2024&amp;dst=100005&amp;field=134" TargetMode="External"/><Relationship Id="rId23" Type="http://schemas.openxmlformats.org/officeDocument/2006/relationships/hyperlink" Target="https://login.consultant.ru/link/?req=doc&amp;base=RLAW077&amp;n=217514&amp;date=02.02.2024&amp;dst=100006&amp;field=134" TargetMode="External"/><Relationship Id="rId24" Type="http://schemas.openxmlformats.org/officeDocument/2006/relationships/hyperlink" Target="https://login.consultant.ru/link/?req=doc&amp;base=LAW&amp;n=129344&amp;date=02.02.2024" TargetMode="External"/><Relationship Id="rId25" Type="http://schemas.openxmlformats.org/officeDocument/2006/relationships/hyperlink" Target="https://login.consultant.ru/link/?req=doc&amp;base=LAW&amp;n=130516&amp;date=02.02.2024" TargetMode="External"/><Relationship Id="rId26" Type="http://schemas.openxmlformats.org/officeDocument/2006/relationships/hyperlink" Target="https://login.consultant.ru/link/?req=doc&amp;base=LAW&amp;n=282758&amp;date=02.02.2024" TargetMode="External"/><Relationship Id="rId27" Type="http://schemas.openxmlformats.org/officeDocument/2006/relationships/hyperlink" Target="https://login.consultant.ru/link/?req=doc&amp;base=RLAW077&amp;n=164882&amp;date=02.02.2024" TargetMode="External"/><Relationship Id="rId28" Type="http://schemas.openxmlformats.org/officeDocument/2006/relationships/hyperlink" Target="https://login.consultant.ru/link/?req=doc&amp;base=RLAW077&amp;n=217514&amp;date=02.02.2024&amp;dst=100014&amp;field=134" TargetMode="External"/><Relationship Id="rId29" Type="http://schemas.openxmlformats.org/officeDocument/2006/relationships/hyperlink" Target="https://login.consultant.ru/link/?req=doc&amp;base=RLAW077&amp;n=192081&amp;date=02.02.2024&amp;dst=100260&amp;field=134" TargetMode="External"/><Relationship Id="rId30" Type="http://schemas.openxmlformats.org/officeDocument/2006/relationships/hyperlink" Target="https://login.consultant.ru/link/?req=doc&amp;base=RLAW077&amp;n=217514&amp;date=02.02.2024&amp;dst=100024&amp;field=134" TargetMode="External"/><Relationship Id="rId31" Type="http://schemas.openxmlformats.org/officeDocument/2006/relationships/hyperlink" Target="https://login.consultant.ru/link/?req=doc&amp;base=RLAW077&amp;n=217514&amp;date=02.02.2024&amp;dst=100026&amp;field=134" TargetMode="External"/><Relationship Id="rId32" Type="http://schemas.openxmlformats.org/officeDocument/2006/relationships/hyperlink" Target="https://login.consultant.ru/link/?req=doc&amp;base=RLAW077&amp;n=217514&amp;date=02.02.2024&amp;dst=100033&amp;field=134" TargetMode="External"/><Relationship Id="rId33" Type="http://schemas.openxmlformats.org/officeDocument/2006/relationships/hyperlink" Target="https://login.consultant.ru/link/?req=doc&amp;base=RLAW077&amp;n=217514&amp;date=02.02.2024&amp;dst=100039&amp;field=134" TargetMode="External"/><Relationship Id="rId34" Type="http://schemas.openxmlformats.org/officeDocument/2006/relationships/hyperlink" Target="https://login.consultant.ru/link/?req=doc&amp;base=RLAW077&amp;n=217514&amp;date=02.02.2024&amp;dst=100041&amp;field=134" TargetMode="External"/><Relationship Id="rId35" Type="http://schemas.openxmlformats.org/officeDocument/2006/relationships/hyperlink" Target="https://login.consultant.ru/link/?req=doc&amp;base=RLAW077&amp;n=217514&amp;date=02.02.2024&amp;dst=100046&amp;field=134" TargetMode="External"/><Relationship Id="rId36" Type="http://schemas.openxmlformats.org/officeDocument/2006/relationships/hyperlink" Target="https://login.consultant.ru/link/?req=doc&amp;base=RLAW077&amp;n=217514&amp;date=02.02.2024&amp;dst=100048&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03.11.2022 N 2360(ред. от 27.12.2023)&amp;quot;Об утверждении муниципальной программы &amp;quot;Управление муниципальными финансами и муниципальным долгом города Ставрополя&amp;quot;</dc:title>
  <dc:creator/>
  <cp:lastModifiedBy/>
</cp:coreProperties>
</file>