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Ставрополя» </w:t>
      </w:r>
      <w:r>
        <w:rPr>
          <w:sz w:val="28"/>
          <w:szCs w:val="28"/>
        </w:rPr>
      </w:r>
      <w:r/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№ 131-ФЗ «Об общих принципах организации местного самоуправления        в Российской Федерации»,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2 статьи 11 Федерального закона                от 28 декабря 2009 г.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</w:t>
      </w:r>
      <w:r>
        <w:rPr>
          <w:sz w:val="28"/>
          <w:szCs w:val="28"/>
        </w:rPr>
        <w:t xml:space="preserve">говле и лицензированию от 15 апреля 2011 г.               № 61/01-07 о/д «Об утверждении Порядка организации ярмарок и продажи товаров (выполнения работ, оказания услуг) на них на территории Ставропольского края», в целях обеспечения граждан качественными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безопасными пищевыми продуктами, повышения эффективности системы социальной защиты населения</w:t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города Ставрополя                          от 11.12.2012</w:t>
      </w:r>
      <w:r>
        <w:rPr>
          <w:sz w:val="28"/>
          <w:szCs w:val="28"/>
        </w:rPr>
        <w:t xml:space="preserve"> № 3930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проведения ярмарки на территории города Ставрополя»</w:t>
      </w:r>
      <w:r>
        <w:rPr>
          <w:sz w:val="28"/>
          <w:szCs w:val="28"/>
        </w:rPr>
        <w:t xml:space="preserve"> (далее - постановление) </w:t>
      </w:r>
      <w:r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 xml:space="preserve">изложив         приложение 1 «Перечень ярмарочных площадок на территории города Ставрополя» к постановлению в следующей редакции:</w:t>
      </w:r>
      <w:r>
        <w:rPr>
          <w:sz w:val="28"/>
          <w:szCs w:val="28"/>
        </w:rPr>
      </w:r>
      <w:r/>
    </w:p>
    <w:p>
      <w:pPr>
        <w:pStyle w:val="856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«ПЕРЕЧЕНЬ</w:t>
      </w:r>
      <w:r/>
    </w:p>
    <w:p>
      <w:pPr>
        <w:pStyle w:val="85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ярмарочных площадок на территории города Ставрополя</w:t>
      </w:r>
      <w:r>
        <w:rPr>
          <w:sz w:val="28"/>
          <w:szCs w:val="28"/>
        </w:rPr>
      </w:r>
      <w:r/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1. Ленинский район: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1) у</w:t>
      </w:r>
      <w:r>
        <w:rPr>
          <w:sz w:val="28"/>
          <w:szCs w:val="28"/>
        </w:rPr>
        <w:t xml:space="preserve">лица Голенева, 73;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2) у</w:t>
      </w:r>
      <w:r>
        <w:rPr>
          <w:sz w:val="28"/>
          <w:szCs w:val="28"/>
        </w:rPr>
        <w:t xml:space="preserve">лица Куйбышева, 48;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3) у</w:t>
      </w:r>
      <w:r>
        <w:rPr>
          <w:sz w:val="28"/>
          <w:szCs w:val="28"/>
        </w:rPr>
        <w:t xml:space="preserve">лица Ленина, 74/17;</w:t>
      </w:r>
      <w:r/>
    </w:p>
    <w:p>
      <w:pPr>
        <w:pStyle w:val="8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 у</w:t>
      </w:r>
      <w:r>
        <w:rPr>
          <w:sz w:val="28"/>
          <w:szCs w:val="28"/>
        </w:rPr>
        <w:t xml:space="preserve">лица Ломоносова, 25;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5) улица Магистральная, 16/2;</w:t>
      </w:r>
      <w:r>
        <w:rPr>
          <w:sz w:val="28"/>
          <w:szCs w:val="28"/>
          <w:highlight w:val="none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6) у</w:t>
      </w:r>
      <w:r>
        <w:rPr>
          <w:sz w:val="28"/>
          <w:szCs w:val="28"/>
        </w:rPr>
        <w:t xml:space="preserve">лица Объездная, 1;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7) у</w:t>
      </w:r>
      <w:r>
        <w:rPr>
          <w:sz w:val="28"/>
          <w:szCs w:val="28"/>
        </w:rPr>
        <w:t xml:space="preserve">лица Объездная, 12;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8) у</w:t>
      </w:r>
      <w:r>
        <w:rPr>
          <w:sz w:val="28"/>
          <w:szCs w:val="28"/>
        </w:rPr>
        <w:t xml:space="preserve">лица Партизанская, 2;</w:t>
      </w:r>
      <w:r/>
    </w:p>
    <w:p>
      <w:pPr>
        <w:pStyle w:val="8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9) у</w:t>
      </w:r>
      <w:r>
        <w:rPr>
          <w:sz w:val="28"/>
          <w:szCs w:val="28"/>
        </w:rPr>
        <w:t xml:space="preserve">лица Серова, 466;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10) шоссе Старомарьевское, 36а.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2. Октябрьский район: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площадь Имени генерала Ермолова, 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Лазо, 127;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Лесная, 157/2;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Орджоникидзе, 4;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Пригородная, 215/1;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Трунова, 134;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Шаумяна, 1.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3. Промышленный район: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роспект Кулакова, 52;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Васильева, 35/1;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3) улица г</w:t>
      </w:r>
      <w:r>
        <w:rPr>
          <w:sz w:val="28"/>
          <w:szCs w:val="28"/>
        </w:rPr>
        <w:t xml:space="preserve">енерала Маргелова, 7;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13;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50/1;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86/1, 86/2;</w:t>
      </w:r>
      <w:r/>
    </w:p>
    <w:p>
      <w:pPr>
        <w:pStyle w:val="8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Ленина, 328/11;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8) улица Пирогова, 5а;</w:t>
      </w:r>
      <w:r>
        <w:rPr>
          <w:sz w:val="28"/>
          <w:szCs w:val="28"/>
          <w:highlight w:val="none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Рогожникова, 90;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10) у</w:t>
      </w:r>
      <w:r>
        <w:rPr>
          <w:sz w:val="28"/>
          <w:szCs w:val="28"/>
        </w:rPr>
        <w:t xml:space="preserve">лица Тухачевского, 26/8;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45 Параллель, 26;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50 лет ВЛКСМ, 16/8;</w:t>
      </w:r>
      <w:r>
        <w:rPr>
          <w:sz w:val="28"/>
          <w:szCs w:val="28"/>
        </w:rPr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50 лет ВЛКСМ, 28а</w:t>
      </w:r>
      <w:r>
        <w:rPr>
          <w:sz w:val="28"/>
          <w:szCs w:val="28"/>
        </w:rPr>
        <w:t xml:space="preserve">;</w:t>
      </w:r>
      <w:r/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Южный обход, 55/10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7"/>
        <w:ind w:firstLine="709"/>
        <w:jc w:val="both"/>
        <w:rPr>
          <w:b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официального опубликования в газете «Вечерний Ставрополь».</w:t>
      </w:r>
      <w:r>
        <w:rPr>
          <w:b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Ставрополя в информационно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3"/>
        <w:ind w:left="0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  <w:tab/>
        <w:tab/>
        <w:tab/>
        <w:tab/>
        <w:tab/>
        <w:tab/>
      </w:r>
      <w:r>
        <w:rPr>
          <w:sz w:val="28"/>
          <w:szCs w:val="28"/>
        </w:rPr>
        <w:t xml:space="preserve">   И.И. Ульянченко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361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6"/>
        <w:sz w:val="28"/>
      </w:rPr>
      <w:framePr w:wrap="around" w:vAnchor="text" w:hAnchor="margin" w:xAlign="center" w:y="1"/>
    </w:pPr>
    <w:r>
      <w:rPr>
        <w:rStyle w:val="866"/>
        <w:sz w:val="28"/>
      </w:rPr>
      <w:fldChar w:fldCharType="begin"/>
    </w:r>
    <w:r>
      <w:rPr>
        <w:rStyle w:val="866"/>
        <w:sz w:val="28"/>
      </w:rPr>
      <w:instrText xml:space="preserve">PAGE  </w:instrText>
    </w:r>
    <w:r>
      <w:rPr>
        <w:rStyle w:val="866"/>
        <w:sz w:val="28"/>
      </w:rPr>
      <w:fldChar w:fldCharType="separate"/>
    </w:r>
    <w:r>
      <w:rPr>
        <w:rStyle w:val="866"/>
        <w:sz w:val="28"/>
      </w:rPr>
      <w:t xml:space="preserve">2</w:t>
    </w:r>
    <w:r>
      <w:rPr>
        <w:rStyle w:val="866"/>
        <w:sz w:val="28"/>
      </w:rPr>
      <w:fldChar w:fldCharType="end"/>
    </w:r>
    <w:r>
      <w:rPr>
        <w:rStyle w:val="866"/>
        <w:sz w:val="28"/>
      </w:rPr>
    </w:r>
    <w:r/>
  </w:p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5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rPr>
      <w:sz w:val="24"/>
      <w:szCs w:val="24"/>
      <w:lang w:val="ru-RU" w:bidi="ar-SA" w:eastAsia="ru-RU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paragraph" w:styleId="860">
    <w:name w:val="Стандартный HTML"/>
    <w:basedOn w:val="856"/>
    <w:next w:val="860"/>
    <w:link w:val="861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61">
    <w:name w:val="Стандартный HTML Знак"/>
    <w:next w:val="861"/>
    <w:link w:val="860"/>
    <w:rPr>
      <w:rFonts w:ascii="Courier New" w:hAnsi="Courier New"/>
      <w:lang w:val="ru-RU" w:bidi="ar-SA" w:eastAsia="ru-RU"/>
    </w:rPr>
  </w:style>
  <w:style w:type="paragraph" w:styleId="862">
    <w:name w:val="ConsPlusTitle"/>
    <w:next w:val="862"/>
    <w:link w:val="856"/>
    <w:pPr>
      <w:widowControl w:val="off"/>
    </w:pPr>
    <w:rPr>
      <w:b/>
      <w:bCs/>
      <w:sz w:val="28"/>
      <w:szCs w:val="28"/>
      <w:lang w:val="ru-RU" w:bidi="ar-SA" w:eastAsia="ru-RU"/>
    </w:rPr>
  </w:style>
  <w:style w:type="paragraph" w:styleId="863">
    <w:name w:val="Основной текст с отступом 2"/>
    <w:basedOn w:val="856"/>
    <w:next w:val="863"/>
    <w:link w:val="864"/>
    <w:pPr>
      <w:ind w:left="283"/>
      <w:spacing w:after="120" w:line="480" w:lineRule="auto"/>
    </w:pPr>
  </w:style>
  <w:style w:type="character" w:styleId="864">
    <w:name w:val="Основной текст с отступом 2 Знак"/>
    <w:next w:val="864"/>
    <w:link w:val="863"/>
    <w:semiHidden/>
    <w:rPr>
      <w:sz w:val="24"/>
      <w:szCs w:val="24"/>
      <w:lang w:val="ru-RU" w:bidi="ar-SA" w:eastAsia="ru-RU"/>
    </w:rPr>
  </w:style>
  <w:style w:type="paragraph" w:styleId="865">
    <w:name w:val="Верхний колонтитул"/>
    <w:basedOn w:val="856"/>
    <w:next w:val="865"/>
    <w:link w:val="856"/>
    <w:pPr>
      <w:tabs>
        <w:tab w:val="center" w:pos="4677" w:leader="none"/>
        <w:tab w:val="right" w:pos="9355" w:leader="none"/>
      </w:tabs>
    </w:pPr>
  </w:style>
  <w:style w:type="character" w:styleId="866">
    <w:name w:val="Номер страницы"/>
    <w:basedOn w:val="857"/>
    <w:next w:val="866"/>
    <w:link w:val="856"/>
  </w:style>
  <w:style w:type="paragraph" w:styleId="867">
    <w:name w:val="Без интервала"/>
    <w:next w:val="867"/>
    <w:link w:val="856"/>
    <w:rPr>
      <w:sz w:val="24"/>
      <w:szCs w:val="24"/>
      <w:lang w:val="ru-RU" w:bidi="ar-SA" w:eastAsia="ru-RU"/>
    </w:rPr>
  </w:style>
  <w:style w:type="paragraph" w:styleId="868">
    <w:name w:val="Нижний колонтитул"/>
    <w:basedOn w:val="856"/>
    <w:next w:val="868"/>
    <w:link w:val="86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9">
    <w:name w:val="Нижний колонтитул Знак"/>
    <w:next w:val="869"/>
    <w:link w:val="868"/>
    <w:rPr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2022-11-24T05:35:41Z</dcterms:modified>
</cp:coreProperties>
</file>